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47" w:type="dxa"/>
        <w:tblInd w:w="-702" w:type="dxa"/>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tblLayout w:type="fixed"/>
        <w:tblLook w:val="01E0" w:firstRow="1" w:lastRow="1" w:firstColumn="1" w:lastColumn="1" w:noHBand="0" w:noVBand="0"/>
      </w:tblPr>
      <w:tblGrid>
        <w:gridCol w:w="4318"/>
        <w:gridCol w:w="4765"/>
        <w:gridCol w:w="2499"/>
        <w:gridCol w:w="2411"/>
        <w:gridCol w:w="1654"/>
      </w:tblGrid>
      <w:tr w:rsidR="001D3508" w:rsidRPr="00BD6183" w14:paraId="3B30FAF2" w14:textId="77777777" w:rsidTr="001D3508">
        <w:trPr>
          <w:trHeight w:val="578"/>
        </w:trPr>
        <w:tc>
          <w:tcPr>
            <w:tcW w:w="13993" w:type="dxa"/>
            <w:gridSpan w:val="4"/>
            <w:tcBorders>
              <w:right w:val="single" w:sz="4" w:space="0" w:color="auto"/>
            </w:tcBorders>
            <w:shd w:val="clear" w:color="auto" w:fill="76923C"/>
          </w:tcPr>
          <w:p w14:paraId="49D203CF" w14:textId="77777777" w:rsidR="001D3508" w:rsidRPr="0054661C" w:rsidRDefault="001D3508" w:rsidP="003004F6">
            <w:pPr>
              <w:pStyle w:val="Default"/>
              <w:widowControl w:val="0"/>
              <w:spacing w:after="0" w:line="240" w:lineRule="auto"/>
              <w:rPr>
                <w:b/>
                <w:color w:val="FFFFFF"/>
                <w:sz w:val="20"/>
                <w:szCs w:val="20"/>
                <w:lang w:eastAsia="en-GB"/>
              </w:rPr>
            </w:pPr>
            <w:r w:rsidRPr="0054661C">
              <w:rPr>
                <w:b/>
                <w:color w:val="FFFFFF"/>
                <w:sz w:val="20"/>
                <w:szCs w:val="20"/>
                <w:lang w:eastAsia="en-GB"/>
              </w:rPr>
              <w:t>Output 6.3.</w:t>
            </w:r>
            <w:r w:rsidRPr="0054661C">
              <w:rPr>
                <w:color w:val="FFFFFF"/>
                <w:sz w:val="20"/>
                <w:szCs w:val="20"/>
                <w:lang w:eastAsia="en-GB"/>
              </w:rPr>
              <w:t xml:space="preserve"> </w:t>
            </w:r>
            <w:r w:rsidRPr="0054661C">
              <w:rPr>
                <w:b/>
                <w:color w:val="FFFFFF"/>
                <w:sz w:val="20"/>
                <w:szCs w:val="20"/>
              </w:rPr>
              <w:t>Countries make use of technical advice and support to develop transition strategies for addressing drivers of deforestation and forest degradation in the context of a green economy.</w:t>
            </w:r>
          </w:p>
        </w:tc>
        <w:tc>
          <w:tcPr>
            <w:tcW w:w="1654" w:type="dxa"/>
            <w:tcBorders>
              <w:top w:val="single" w:sz="4" w:space="0" w:color="auto"/>
              <w:left w:val="single" w:sz="4" w:space="0" w:color="auto"/>
              <w:bottom w:val="nil"/>
              <w:right w:val="nil"/>
            </w:tcBorders>
            <w:shd w:val="clear" w:color="auto" w:fill="808080"/>
          </w:tcPr>
          <w:p w14:paraId="18E8EF4C" w14:textId="77777777" w:rsidR="001D3508" w:rsidRPr="00BD6183" w:rsidRDefault="001D3508" w:rsidP="003004F6">
            <w:pPr>
              <w:pStyle w:val="Default"/>
              <w:widowControl w:val="0"/>
              <w:spacing w:after="0" w:line="240" w:lineRule="auto"/>
              <w:rPr>
                <w:b/>
                <w:color w:val="auto"/>
                <w:sz w:val="18"/>
                <w:szCs w:val="18"/>
              </w:rPr>
            </w:pPr>
            <w:proofErr w:type="spellStart"/>
            <w:r w:rsidRPr="00BD6183">
              <w:rPr>
                <w:b/>
                <w:color w:val="auto"/>
                <w:sz w:val="18"/>
                <w:szCs w:val="18"/>
              </w:rPr>
              <w:t>Respon-sible</w:t>
            </w:r>
            <w:proofErr w:type="spellEnd"/>
            <w:r w:rsidRPr="00BD6183">
              <w:rPr>
                <w:b/>
                <w:color w:val="auto"/>
                <w:sz w:val="18"/>
                <w:szCs w:val="18"/>
              </w:rPr>
              <w:t xml:space="preserve"> agency </w:t>
            </w:r>
          </w:p>
        </w:tc>
      </w:tr>
      <w:tr w:rsidR="001D3508" w:rsidRPr="007A5A88" w14:paraId="373F49D0" w14:textId="77777777" w:rsidTr="001D3508">
        <w:trPr>
          <w:gridAfter w:val="1"/>
          <w:wAfter w:w="1654" w:type="dxa"/>
          <w:trHeight w:val="1254"/>
        </w:trPr>
        <w:tc>
          <w:tcPr>
            <w:tcW w:w="4318" w:type="dxa"/>
            <w:shd w:val="clear" w:color="auto" w:fill="C2D69B"/>
          </w:tcPr>
          <w:p w14:paraId="6117E290" w14:textId="77777777" w:rsidR="001D3508" w:rsidRPr="0054661C" w:rsidRDefault="001D3508" w:rsidP="003004F6">
            <w:pPr>
              <w:widowControl/>
              <w:autoSpaceDN w:val="0"/>
              <w:ind w:left="176" w:hanging="176"/>
              <w:jc w:val="both"/>
              <w:rPr>
                <w:rFonts w:ascii="Calibri" w:hAnsi="Calibri" w:cs="Calibri"/>
                <w:b/>
                <w:sz w:val="20"/>
              </w:rPr>
            </w:pPr>
            <w:r w:rsidRPr="0054661C">
              <w:rPr>
                <w:rFonts w:ascii="Calibri" w:hAnsi="Calibri" w:cs="Calibri"/>
                <w:b/>
                <w:sz w:val="20"/>
              </w:rPr>
              <w:t>Baseline</w:t>
            </w:r>
          </w:p>
          <w:p w14:paraId="6C5BA78B" w14:textId="77777777" w:rsidR="001D3508" w:rsidRPr="0054661C" w:rsidRDefault="001D3508" w:rsidP="001D3508">
            <w:pPr>
              <w:pStyle w:val="Paragraphedeliste"/>
              <w:numPr>
                <w:ilvl w:val="4"/>
                <w:numId w:val="1"/>
              </w:numPr>
              <w:suppressAutoHyphens w:val="0"/>
              <w:ind w:left="230" w:hanging="283"/>
              <w:contextualSpacing w:val="0"/>
              <w:textAlignment w:val="auto"/>
              <w:rPr>
                <w:rFonts w:ascii="Calibri" w:eastAsia="Times New Roman" w:hAnsi="Calibri" w:cs="Calibri"/>
                <w:sz w:val="20"/>
                <w:szCs w:val="20"/>
              </w:rPr>
            </w:pPr>
            <w:r w:rsidRPr="0054661C">
              <w:rPr>
                <w:rFonts w:ascii="Calibri" w:eastAsia="Times New Roman" w:hAnsi="Calibri" w:cs="Calibri"/>
                <w:sz w:val="20"/>
                <w:szCs w:val="20"/>
              </w:rPr>
              <w:t>Although initial work has begun, no UN-REDD countries where transition processes have been linked to REDD+ processes.</w:t>
            </w:r>
          </w:p>
          <w:p w14:paraId="13377BA8" w14:textId="77777777" w:rsidR="001D3508" w:rsidRPr="0054661C" w:rsidRDefault="001D3508" w:rsidP="001D3508">
            <w:pPr>
              <w:pStyle w:val="Paragraphedeliste"/>
              <w:numPr>
                <w:ilvl w:val="4"/>
                <w:numId w:val="1"/>
              </w:numPr>
              <w:suppressAutoHyphens w:val="0"/>
              <w:ind w:left="230" w:hanging="283"/>
              <w:contextualSpacing w:val="0"/>
              <w:textAlignment w:val="auto"/>
              <w:rPr>
                <w:rFonts w:ascii="Calibri" w:eastAsia="Times New Roman" w:hAnsi="Calibri" w:cs="Calibri"/>
                <w:sz w:val="20"/>
                <w:szCs w:val="20"/>
              </w:rPr>
            </w:pPr>
            <w:r w:rsidRPr="0054661C">
              <w:rPr>
                <w:rFonts w:ascii="Calibri" w:eastAsia="Times New Roman" w:hAnsi="Calibri" w:cs="Calibri"/>
                <w:sz w:val="20"/>
                <w:szCs w:val="20"/>
              </w:rPr>
              <w:t>2 countries provided with initial technical support on concepts and initial brainstorming on the green economy.</w:t>
            </w:r>
          </w:p>
          <w:p w14:paraId="528F8EC2" w14:textId="77777777" w:rsidR="001D3508" w:rsidRPr="0054661C" w:rsidRDefault="001D3508" w:rsidP="001D3508">
            <w:pPr>
              <w:pStyle w:val="Paragraphedeliste"/>
              <w:numPr>
                <w:ilvl w:val="4"/>
                <w:numId w:val="1"/>
              </w:numPr>
              <w:suppressAutoHyphens w:val="0"/>
              <w:ind w:left="230" w:hanging="283"/>
              <w:contextualSpacing w:val="0"/>
              <w:textAlignment w:val="auto"/>
              <w:rPr>
                <w:rFonts w:ascii="Calibri" w:eastAsia="Times New Roman" w:hAnsi="Calibri" w:cs="Calibri"/>
                <w:sz w:val="20"/>
                <w:szCs w:val="20"/>
              </w:rPr>
            </w:pPr>
            <w:r w:rsidRPr="0054661C">
              <w:rPr>
                <w:rFonts w:ascii="Calibri" w:eastAsia="Times New Roman" w:hAnsi="Calibri" w:cs="Calibri"/>
                <w:sz w:val="20"/>
                <w:szCs w:val="20"/>
              </w:rPr>
              <w:t>One analysis to date (Kenya, published in 2012).</w:t>
            </w:r>
          </w:p>
        </w:tc>
        <w:tc>
          <w:tcPr>
            <w:tcW w:w="4765" w:type="dxa"/>
            <w:tcBorders>
              <w:right w:val="single" w:sz="4" w:space="0" w:color="auto"/>
            </w:tcBorders>
            <w:shd w:val="clear" w:color="auto" w:fill="C2D69B"/>
          </w:tcPr>
          <w:p w14:paraId="68648131" w14:textId="77777777" w:rsidR="001D3508" w:rsidRPr="0054661C" w:rsidRDefault="001D3508" w:rsidP="003004F6">
            <w:pPr>
              <w:widowControl/>
              <w:autoSpaceDN w:val="0"/>
              <w:ind w:left="317" w:hanging="317"/>
              <w:jc w:val="both"/>
              <w:rPr>
                <w:rFonts w:ascii="Calibri" w:hAnsi="Calibri" w:cs="Calibri"/>
                <w:b/>
                <w:sz w:val="20"/>
              </w:rPr>
            </w:pPr>
            <w:r w:rsidRPr="0054661C">
              <w:rPr>
                <w:rFonts w:ascii="Calibri" w:hAnsi="Calibri" w:cs="Calibri"/>
                <w:b/>
                <w:sz w:val="20"/>
              </w:rPr>
              <w:t xml:space="preserve">Target </w:t>
            </w:r>
          </w:p>
          <w:p w14:paraId="72BD1109" w14:textId="77777777" w:rsidR="001D3508" w:rsidRPr="0054661C" w:rsidRDefault="001D3508" w:rsidP="001D3508">
            <w:pPr>
              <w:pStyle w:val="Paragraphedeliste"/>
              <w:numPr>
                <w:ilvl w:val="0"/>
                <w:numId w:val="2"/>
              </w:numPr>
              <w:rPr>
                <w:rFonts w:ascii="Calibri" w:eastAsia="Times New Roman" w:hAnsi="Calibri" w:cs="Calibri"/>
                <w:sz w:val="20"/>
                <w:szCs w:val="20"/>
              </w:rPr>
            </w:pPr>
            <w:r w:rsidRPr="0054661C">
              <w:rPr>
                <w:rFonts w:ascii="Calibri" w:eastAsia="Times New Roman" w:hAnsi="Calibri" w:cs="Calibri"/>
                <w:sz w:val="20"/>
                <w:szCs w:val="20"/>
              </w:rPr>
              <w:t>2 UN-REDD Programme countries where the transition processes are linked with REDD+ in the context of a green economy.</w:t>
            </w:r>
          </w:p>
          <w:p w14:paraId="5A43771C" w14:textId="77777777" w:rsidR="001D3508" w:rsidRPr="0054661C" w:rsidRDefault="001D3508" w:rsidP="001D3508">
            <w:pPr>
              <w:pStyle w:val="Paragraphedeliste"/>
              <w:numPr>
                <w:ilvl w:val="0"/>
                <w:numId w:val="2"/>
              </w:numPr>
              <w:ind w:right="-29"/>
              <w:rPr>
                <w:rFonts w:ascii="Calibri" w:eastAsia="Times New Roman" w:hAnsi="Calibri" w:cs="Calibri"/>
                <w:sz w:val="20"/>
                <w:szCs w:val="20"/>
              </w:rPr>
            </w:pPr>
            <w:r w:rsidRPr="0054661C">
              <w:rPr>
                <w:rFonts w:ascii="Calibri" w:eastAsia="Times New Roman" w:hAnsi="Calibri" w:cs="Calibri"/>
                <w:sz w:val="20"/>
                <w:szCs w:val="20"/>
              </w:rPr>
              <w:t>Support requested by and provided to 3 additional countries on the green economy.</w:t>
            </w:r>
          </w:p>
          <w:p w14:paraId="693D5C4A" w14:textId="77777777" w:rsidR="001D3508" w:rsidRPr="0054661C" w:rsidRDefault="001D3508" w:rsidP="001D3508">
            <w:pPr>
              <w:pStyle w:val="Paragraphedeliste"/>
              <w:numPr>
                <w:ilvl w:val="0"/>
                <w:numId w:val="2"/>
              </w:numPr>
              <w:ind w:right="-29"/>
              <w:rPr>
                <w:rFonts w:ascii="Calibri" w:eastAsia="Times New Roman" w:hAnsi="Calibri" w:cs="Calibri"/>
                <w:sz w:val="20"/>
                <w:szCs w:val="20"/>
              </w:rPr>
            </w:pPr>
            <w:r w:rsidRPr="0054661C">
              <w:rPr>
                <w:rFonts w:ascii="Calibri" w:hAnsi="Calibri" w:cs="Calibri"/>
                <w:sz w:val="20"/>
                <w:szCs w:val="20"/>
              </w:rPr>
              <w:t>At least 3 countries conduct studies on forest ecosystem valuation and the feasibility of payments for ecosystems services schemes.</w:t>
            </w:r>
          </w:p>
          <w:p w14:paraId="720A6B08" w14:textId="77777777" w:rsidR="001D3508" w:rsidRPr="0054661C" w:rsidRDefault="001D3508" w:rsidP="003004F6">
            <w:pPr>
              <w:pStyle w:val="Default"/>
              <w:widowControl w:val="0"/>
              <w:spacing w:after="0" w:line="240" w:lineRule="auto"/>
              <w:ind w:left="317" w:hanging="317"/>
              <w:rPr>
                <w:color w:val="auto"/>
                <w:sz w:val="20"/>
                <w:szCs w:val="20"/>
                <w:lang w:eastAsia="en-GB"/>
              </w:rPr>
            </w:pPr>
            <w:r w:rsidRPr="0054661C">
              <w:rPr>
                <w:color w:val="auto"/>
                <w:sz w:val="20"/>
                <w:szCs w:val="20"/>
                <w:lang w:val="en-GB"/>
              </w:rPr>
              <w:t xml:space="preserve"> </w:t>
            </w:r>
          </w:p>
        </w:tc>
        <w:tc>
          <w:tcPr>
            <w:tcW w:w="2499" w:type="dxa"/>
            <w:tcBorders>
              <w:top w:val="nil"/>
              <w:left w:val="single" w:sz="4" w:space="0" w:color="auto"/>
              <w:bottom w:val="single" w:sz="4" w:space="0" w:color="auto"/>
              <w:right w:val="nil"/>
            </w:tcBorders>
            <w:shd w:val="clear" w:color="auto" w:fill="808080"/>
          </w:tcPr>
          <w:p w14:paraId="14B8FE2E" w14:textId="77777777" w:rsidR="001D3508" w:rsidRPr="00BD6183" w:rsidRDefault="001D3508" w:rsidP="003004F6">
            <w:pPr>
              <w:widowControl/>
              <w:autoSpaceDN w:val="0"/>
              <w:ind w:left="317" w:hanging="317"/>
              <w:jc w:val="both"/>
              <w:rPr>
                <w:rFonts w:ascii="Calibri" w:hAnsi="Calibri" w:cs="Calibri"/>
                <w:b/>
                <w:sz w:val="18"/>
                <w:szCs w:val="18"/>
              </w:rPr>
            </w:pPr>
          </w:p>
        </w:tc>
        <w:tc>
          <w:tcPr>
            <w:tcW w:w="2411" w:type="dxa"/>
            <w:tcBorders>
              <w:top w:val="nil"/>
              <w:left w:val="single" w:sz="4" w:space="0" w:color="auto"/>
              <w:bottom w:val="single" w:sz="4" w:space="0" w:color="auto"/>
              <w:right w:val="nil"/>
            </w:tcBorders>
            <w:shd w:val="clear" w:color="auto" w:fill="808080"/>
          </w:tcPr>
          <w:p w14:paraId="17FBF052" w14:textId="77777777" w:rsidR="001D3508" w:rsidRPr="007A5A88" w:rsidRDefault="001D3508" w:rsidP="003004F6">
            <w:pPr>
              <w:widowControl/>
              <w:autoSpaceDN w:val="0"/>
              <w:ind w:left="317" w:hanging="317"/>
              <w:jc w:val="both"/>
              <w:rPr>
                <w:rFonts w:ascii="Calibri" w:hAnsi="Calibri" w:cs="Calibri"/>
                <w:b/>
                <w:sz w:val="18"/>
                <w:szCs w:val="18"/>
              </w:rPr>
            </w:pPr>
          </w:p>
        </w:tc>
      </w:tr>
      <w:tr w:rsidR="001D3508" w:rsidRPr="007A5A88" w14:paraId="2A139B14" w14:textId="77777777" w:rsidTr="001D3508">
        <w:trPr>
          <w:trHeight w:val="973"/>
        </w:trPr>
        <w:tc>
          <w:tcPr>
            <w:tcW w:w="13993" w:type="dxa"/>
            <w:gridSpan w:val="4"/>
            <w:tcBorders>
              <w:left w:val="single" w:sz="4" w:space="0" w:color="auto"/>
              <w:right w:val="single" w:sz="4" w:space="0" w:color="auto"/>
            </w:tcBorders>
            <w:shd w:val="clear" w:color="auto" w:fill="FFFFFF"/>
          </w:tcPr>
          <w:p w14:paraId="11FF8A1B" w14:textId="77777777" w:rsidR="001D3508" w:rsidRPr="0054661C" w:rsidRDefault="001D3508" w:rsidP="003004F6">
            <w:pPr>
              <w:pStyle w:val="Default"/>
              <w:widowControl w:val="0"/>
              <w:spacing w:after="0" w:line="240" w:lineRule="auto"/>
              <w:rPr>
                <w:b/>
                <w:bCs/>
                <w:color w:val="auto"/>
                <w:sz w:val="20"/>
                <w:szCs w:val="20"/>
                <w:lang w:eastAsia="en-GB"/>
              </w:rPr>
            </w:pPr>
            <w:r w:rsidRPr="0054661C">
              <w:rPr>
                <w:b/>
                <w:bCs/>
                <w:color w:val="auto"/>
                <w:sz w:val="20"/>
                <w:szCs w:val="20"/>
                <w:lang w:eastAsia="en-GB"/>
              </w:rPr>
              <w:t xml:space="preserve">Output 6.3. </w:t>
            </w:r>
            <w:r>
              <w:rPr>
                <w:b/>
                <w:bCs/>
                <w:color w:val="auto"/>
                <w:sz w:val="20"/>
                <w:szCs w:val="20"/>
                <w:lang w:eastAsia="en-GB"/>
              </w:rPr>
              <w:t>A</w:t>
            </w:r>
            <w:r w:rsidRPr="0054661C">
              <w:rPr>
                <w:b/>
                <w:bCs/>
                <w:color w:val="auto"/>
                <w:sz w:val="20"/>
                <w:szCs w:val="20"/>
                <w:lang w:eastAsia="en-GB"/>
              </w:rPr>
              <w:t>chievements against target</w:t>
            </w:r>
          </w:p>
          <w:p w14:paraId="1361E39C" w14:textId="77777777" w:rsidR="001D3508" w:rsidRPr="0054661C" w:rsidRDefault="001D3508" w:rsidP="003004F6">
            <w:pPr>
              <w:pStyle w:val="Default"/>
              <w:widowControl w:val="0"/>
              <w:spacing w:after="0" w:line="240" w:lineRule="auto"/>
              <w:rPr>
                <w:b/>
                <w:sz w:val="20"/>
                <w:szCs w:val="20"/>
                <w:lang w:val="en-GB" w:eastAsia="en-GB"/>
              </w:rPr>
            </w:pPr>
          </w:p>
          <w:p w14:paraId="2D659B2F" w14:textId="77777777" w:rsidR="001D3508" w:rsidRPr="0054661C" w:rsidRDefault="001D3508" w:rsidP="003004F6">
            <w:pPr>
              <w:pStyle w:val="Default"/>
              <w:widowControl w:val="0"/>
              <w:spacing w:after="0" w:line="240" w:lineRule="auto"/>
              <w:rPr>
                <w:b/>
                <w:sz w:val="20"/>
                <w:szCs w:val="20"/>
                <w:lang w:val="en-GB" w:eastAsia="en-GB"/>
              </w:rPr>
            </w:pPr>
            <w:r w:rsidRPr="0054661C">
              <w:rPr>
                <w:b/>
                <w:sz w:val="20"/>
                <w:szCs w:val="20"/>
                <w:lang w:val="en-GB" w:eastAsia="en-GB"/>
              </w:rPr>
              <w:t>Indicator a:</w:t>
            </w:r>
          </w:p>
          <w:p w14:paraId="2DFF26CD" w14:textId="77777777" w:rsidR="001D3508" w:rsidRDefault="001D3508" w:rsidP="003004F6">
            <w:pPr>
              <w:pStyle w:val="Default"/>
              <w:widowControl w:val="0"/>
              <w:spacing w:after="0" w:line="240" w:lineRule="auto"/>
              <w:rPr>
                <w:rFonts w:cs="Cambria"/>
                <w:i/>
                <w:color w:val="7F7F7F"/>
                <w:sz w:val="20"/>
                <w:szCs w:val="20"/>
              </w:rPr>
            </w:pPr>
          </w:p>
          <w:p w14:paraId="30806050" w14:textId="77777777" w:rsidR="001D3508" w:rsidRDefault="001D3508" w:rsidP="001D3508">
            <w:pPr>
              <w:pStyle w:val="Default"/>
              <w:widowControl w:val="0"/>
              <w:numPr>
                <w:ilvl w:val="0"/>
                <w:numId w:val="3"/>
              </w:numPr>
              <w:spacing w:after="0" w:line="240" w:lineRule="auto"/>
              <w:jc w:val="both"/>
              <w:rPr>
                <w:rFonts w:cs="Cambria"/>
                <w:color w:val="auto"/>
                <w:sz w:val="20"/>
                <w:szCs w:val="20"/>
              </w:rPr>
            </w:pPr>
            <w:r>
              <w:rPr>
                <w:rFonts w:cs="Cambria"/>
                <w:b/>
                <w:color w:val="auto"/>
                <w:sz w:val="20"/>
                <w:szCs w:val="20"/>
              </w:rPr>
              <w:t xml:space="preserve">Ghana:  </w:t>
            </w:r>
            <w:r>
              <w:rPr>
                <w:rFonts w:cs="Cambria"/>
                <w:color w:val="auto"/>
                <w:sz w:val="20"/>
                <w:szCs w:val="20"/>
              </w:rPr>
              <w:t xml:space="preserve">In collaboration with Ghana Cocoa Board, the environmental sustainability content of the current </w:t>
            </w:r>
            <w:proofErr w:type="gramStart"/>
            <w:r>
              <w:rPr>
                <w:rFonts w:cs="Cambria"/>
                <w:color w:val="auto"/>
                <w:sz w:val="20"/>
                <w:szCs w:val="20"/>
              </w:rPr>
              <w:t>extension training</w:t>
            </w:r>
            <w:proofErr w:type="gramEnd"/>
            <w:r>
              <w:rPr>
                <w:rFonts w:cs="Cambria"/>
                <w:color w:val="auto"/>
                <w:sz w:val="20"/>
                <w:szCs w:val="20"/>
              </w:rPr>
              <w:t xml:space="preserve"> manual was revised and enhanced and training was provided to extension officer including on agro-forestry practices and tree registration. Reintroduction of shade-grown cocoa through training and distribution of free seedlings successfully continued in 2015. As part of co-financing, three studies were conducted to assess the land </w:t>
            </w:r>
            <w:r w:rsidRPr="006715BD">
              <w:rPr>
                <w:rFonts w:cs="Cambria"/>
                <w:color w:val="auto"/>
                <w:sz w:val="20"/>
                <w:szCs w:val="20"/>
              </w:rPr>
              <w:t>and tree tenure regimes and how they affect sustainable cocoa production practices</w:t>
            </w:r>
            <w:r>
              <w:rPr>
                <w:rFonts w:cs="Cambria"/>
                <w:color w:val="auto"/>
                <w:sz w:val="20"/>
                <w:szCs w:val="20"/>
              </w:rPr>
              <w:t xml:space="preserve"> and to assess the impact of mining activities on cocoa-forest mosaic landscape, analyzing the long-term costs and benefits under multiple deforestation/sustainable management scenarios</w:t>
            </w:r>
            <w:r w:rsidRPr="006715BD">
              <w:rPr>
                <w:rFonts w:cs="Cambria"/>
                <w:color w:val="auto"/>
                <w:sz w:val="20"/>
                <w:szCs w:val="20"/>
              </w:rPr>
              <w:t xml:space="preserve">. Their findings and recommendations provide a strong basis to reform the policy and regulatory framework </w:t>
            </w:r>
            <w:r>
              <w:rPr>
                <w:rFonts w:cs="Cambria"/>
                <w:color w:val="auto"/>
                <w:sz w:val="20"/>
                <w:szCs w:val="20"/>
              </w:rPr>
              <w:t xml:space="preserve">and incentives </w:t>
            </w:r>
            <w:r w:rsidRPr="006715BD">
              <w:rPr>
                <w:rFonts w:cs="Cambria"/>
                <w:color w:val="auto"/>
                <w:sz w:val="20"/>
                <w:szCs w:val="20"/>
              </w:rPr>
              <w:t xml:space="preserve">for the effective promotion of environmentally sustainable practices in the cocoa sector. </w:t>
            </w:r>
            <w:r>
              <w:rPr>
                <w:rFonts w:cs="Cambria"/>
                <w:color w:val="auto"/>
                <w:sz w:val="20"/>
                <w:szCs w:val="20"/>
              </w:rPr>
              <w:t>Two</w:t>
            </w:r>
            <w:r w:rsidRPr="006715BD">
              <w:rPr>
                <w:rFonts w:cs="Cambria"/>
                <w:color w:val="auto"/>
                <w:sz w:val="20"/>
                <w:szCs w:val="20"/>
              </w:rPr>
              <w:t xml:space="preserve"> events were successfully hold in November 2015, a high-level private sector consultation workshop for the national REDD+ project development, targeting stakeholder from the cocoa and timber industry and a national forum to raise mass awareness about REDD+ and its implication in cocoa landscapes. </w:t>
            </w:r>
          </w:p>
          <w:p w14:paraId="47FBAEBC" w14:textId="77777777" w:rsidR="001D3508" w:rsidRPr="006715BD" w:rsidRDefault="001D3508" w:rsidP="003004F6">
            <w:pPr>
              <w:pStyle w:val="Default"/>
              <w:widowControl w:val="0"/>
              <w:spacing w:after="0" w:line="240" w:lineRule="auto"/>
              <w:ind w:left="720"/>
              <w:jc w:val="both"/>
              <w:rPr>
                <w:rFonts w:cs="Cambria"/>
                <w:color w:val="auto"/>
                <w:sz w:val="20"/>
                <w:szCs w:val="20"/>
              </w:rPr>
            </w:pPr>
          </w:p>
          <w:p w14:paraId="1D6B3BB0" w14:textId="77777777" w:rsidR="001D3508" w:rsidRPr="00162931" w:rsidRDefault="001D3508" w:rsidP="001D3508">
            <w:pPr>
              <w:pStyle w:val="Default"/>
              <w:widowControl w:val="0"/>
              <w:numPr>
                <w:ilvl w:val="0"/>
                <w:numId w:val="3"/>
              </w:numPr>
              <w:spacing w:after="0" w:line="240" w:lineRule="auto"/>
              <w:jc w:val="both"/>
              <w:rPr>
                <w:rFonts w:cs="Cambria"/>
                <w:color w:val="auto"/>
                <w:sz w:val="20"/>
                <w:szCs w:val="20"/>
              </w:rPr>
            </w:pPr>
            <w:r w:rsidRPr="00320E66">
              <w:rPr>
                <w:rFonts w:ascii="Cambria" w:hAnsi="Cambria"/>
                <w:b/>
                <w:bCs/>
                <w:sz w:val="20"/>
              </w:rPr>
              <w:t>Peru</w:t>
            </w:r>
            <w:r w:rsidRPr="00320E66">
              <w:rPr>
                <w:rFonts w:ascii="Cambria" w:hAnsi="Cambria"/>
                <w:sz w:val="20"/>
              </w:rPr>
              <w:t>: </w:t>
            </w:r>
            <w:r>
              <w:rPr>
                <w:rFonts w:ascii="Cambria" w:hAnsi="Cambria"/>
                <w:sz w:val="20"/>
              </w:rPr>
              <w:t xml:space="preserve">Initial consultation and engagement meetings with relevant local stakeholders in palm producing areas allowed generating awareness on issues related to palm oil production, including deforestation and to gather quality information on production practices and producers needs. Three in-depth analyses, on public financial and economic incentives, institutional arrangements and smallholder capacities to adopt best practices, were conducted as part of a global root cause analysis on the issues limiting sustainability of the palm oil sector. This root cause analysis along with a methodology </w:t>
            </w:r>
            <w:r w:rsidR="006E46D9">
              <w:rPr>
                <w:rFonts w:ascii="Cambria" w:hAnsi="Cambria"/>
                <w:sz w:val="20"/>
              </w:rPr>
              <w:t>was presented to</w:t>
            </w:r>
            <w:r>
              <w:rPr>
                <w:rFonts w:ascii="Cambria" w:hAnsi="Cambria"/>
                <w:sz w:val="20"/>
              </w:rPr>
              <w:t xml:space="preserve"> the Ministry of Agriculture</w:t>
            </w:r>
            <w:r w:rsidR="006E46D9">
              <w:rPr>
                <w:rFonts w:ascii="Cambria" w:hAnsi="Cambria"/>
                <w:sz w:val="20"/>
              </w:rPr>
              <w:t xml:space="preserve"> as part of its efforts</w:t>
            </w:r>
            <w:r>
              <w:rPr>
                <w:rFonts w:ascii="Cambria" w:hAnsi="Cambria"/>
                <w:sz w:val="20"/>
              </w:rPr>
              <w:t xml:space="preserve"> to develop a new Palm Oil Plan that would allow a sustainable development of this sector and reducing pressure on existing forests in the country. </w:t>
            </w:r>
          </w:p>
          <w:p w14:paraId="35DD9D2A" w14:textId="77777777" w:rsidR="001D3508" w:rsidRPr="0035705E" w:rsidRDefault="001D3508" w:rsidP="003004F6">
            <w:pPr>
              <w:pStyle w:val="Default"/>
              <w:widowControl w:val="0"/>
              <w:spacing w:after="0" w:line="240" w:lineRule="auto"/>
              <w:jc w:val="both"/>
              <w:rPr>
                <w:rFonts w:cs="Cambria"/>
                <w:color w:val="auto"/>
                <w:sz w:val="20"/>
                <w:szCs w:val="20"/>
              </w:rPr>
            </w:pPr>
          </w:p>
          <w:p w14:paraId="11E32003" w14:textId="77777777" w:rsidR="001D3508" w:rsidRPr="0035705E" w:rsidRDefault="001D3508" w:rsidP="001D3508">
            <w:pPr>
              <w:pStyle w:val="Default"/>
              <w:widowControl w:val="0"/>
              <w:numPr>
                <w:ilvl w:val="0"/>
                <w:numId w:val="3"/>
              </w:numPr>
              <w:spacing w:after="0" w:line="240" w:lineRule="auto"/>
              <w:jc w:val="both"/>
              <w:rPr>
                <w:rFonts w:cs="Cambria"/>
                <w:b/>
                <w:color w:val="auto"/>
                <w:sz w:val="20"/>
                <w:szCs w:val="20"/>
              </w:rPr>
            </w:pPr>
            <w:r w:rsidRPr="0035705E">
              <w:rPr>
                <w:rFonts w:cs="Cambria"/>
                <w:b/>
                <w:color w:val="auto"/>
                <w:sz w:val="20"/>
                <w:szCs w:val="20"/>
              </w:rPr>
              <w:t xml:space="preserve">Indonesia: </w:t>
            </w:r>
            <w:r>
              <w:rPr>
                <w:rFonts w:cs="Cambria"/>
                <w:color w:val="auto"/>
                <w:sz w:val="20"/>
                <w:szCs w:val="20"/>
              </w:rPr>
              <w:t xml:space="preserve">The Indonesian Palm Oil Platform Working Groups met several times in 2015 to discuss and identify key interventions to reduce deforestation from palm oil expansion. The discussions of the working groups are feeding a draft National Action Plan, which includes provisions to reduce deforestation from the palm oil sector. UNDP partnered with two major palm oil companies – Asia </w:t>
            </w:r>
            <w:proofErr w:type="spellStart"/>
            <w:r>
              <w:rPr>
                <w:rFonts w:cs="Cambria"/>
                <w:color w:val="auto"/>
                <w:sz w:val="20"/>
                <w:szCs w:val="20"/>
              </w:rPr>
              <w:t>Agri</w:t>
            </w:r>
            <w:proofErr w:type="spellEnd"/>
            <w:r>
              <w:rPr>
                <w:rFonts w:cs="Cambria"/>
                <w:color w:val="auto"/>
                <w:sz w:val="20"/>
                <w:szCs w:val="20"/>
              </w:rPr>
              <w:t xml:space="preserve"> and Astra Agro – and a global buyer to pilot reducing deforestation pressure by strengthening the capacity and legality of smallholders. A smallholder baseline assessment and a training needs assessments were conducted to develop a </w:t>
            </w:r>
            <w:r>
              <w:rPr>
                <w:rFonts w:cs="Cambria"/>
                <w:color w:val="auto"/>
                <w:sz w:val="20"/>
                <w:szCs w:val="20"/>
              </w:rPr>
              <w:lastRenderedPageBreak/>
              <w:t xml:space="preserve">targeted </w:t>
            </w:r>
            <w:proofErr w:type="spellStart"/>
            <w:r>
              <w:rPr>
                <w:rFonts w:cs="Cambria"/>
                <w:color w:val="auto"/>
                <w:sz w:val="20"/>
                <w:szCs w:val="20"/>
              </w:rPr>
              <w:t>programme</w:t>
            </w:r>
            <w:proofErr w:type="spellEnd"/>
            <w:r>
              <w:rPr>
                <w:rFonts w:cs="Cambria"/>
                <w:color w:val="auto"/>
                <w:sz w:val="20"/>
                <w:szCs w:val="20"/>
              </w:rPr>
              <w:t xml:space="preserve"> to support 2200 independent smallholders achieve ISPO certification. </w:t>
            </w:r>
          </w:p>
          <w:p w14:paraId="514FDF11" w14:textId="77777777" w:rsidR="001D3508" w:rsidRDefault="001D3508" w:rsidP="003004F6">
            <w:pPr>
              <w:pStyle w:val="Default"/>
              <w:widowControl w:val="0"/>
              <w:spacing w:after="0" w:line="240" w:lineRule="auto"/>
              <w:rPr>
                <w:rFonts w:cs="Cambria"/>
                <w:i/>
                <w:color w:val="7F7F7F"/>
                <w:sz w:val="20"/>
                <w:szCs w:val="20"/>
              </w:rPr>
            </w:pPr>
          </w:p>
          <w:p w14:paraId="002D7010" w14:textId="77777777" w:rsidR="001D3508" w:rsidRPr="0054661C" w:rsidRDefault="001D3508" w:rsidP="003004F6">
            <w:pPr>
              <w:pStyle w:val="Default"/>
              <w:widowControl w:val="0"/>
              <w:spacing w:after="0" w:line="240" w:lineRule="auto"/>
              <w:rPr>
                <w:i/>
                <w:color w:val="7F7F7F"/>
                <w:sz w:val="20"/>
                <w:szCs w:val="20"/>
              </w:rPr>
            </w:pPr>
            <w:r w:rsidRPr="0054661C">
              <w:rPr>
                <w:rFonts w:cs="Cambria"/>
                <w:i/>
                <w:color w:val="7F7F7F"/>
                <w:sz w:val="20"/>
                <w:szCs w:val="20"/>
              </w:rPr>
              <w:t xml:space="preserve">Start with the overall chapeau text responding to the indicator and thereafter list the </w:t>
            </w:r>
            <w:r w:rsidRPr="0054661C">
              <w:rPr>
                <w:rFonts w:cs="Cambria"/>
                <w:i/>
                <w:color w:val="7F7F7F"/>
                <w:sz w:val="20"/>
                <w:szCs w:val="20"/>
                <w:u w:val="single"/>
              </w:rPr>
              <w:t>cumulative</w:t>
            </w:r>
            <w:r w:rsidRPr="0054661C">
              <w:rPr>
                <w:rFonts w:cs="Cambria"/>
                <w:i/>
                <w:color w:val="7F7F7F"/>
                <w:sz w:val="20"/>
                <w:szCs w:val="20"/>
              </w:rPr>
              <w:t xml:space="preserve"> achievements </w:t>
            </w:r>
            <w:r>
              <w:rPr>
                <w:rFonts w:cs="Cambria"/>
                <w:i/>
                <w:color w:val="7F7F7F"/>
                <w:sz w:val="20"/>
                <w:szCs w:val="20"/>
              </w:rPr>
              <w:t xml:space="preserve">(Nov 2011-Dec 2015) </w:t>
            </w:r>
            <w:r w:rsidRPr="0054661C">
              <w:rPr>
                <w:rFonts w:cs="Cambria"/>
                <w:i/>
                <w:color w:val="7F7F7F"/>
                <w:sz w:val="20"/>
                <w:szCs w:val="20"/>
              </w:rPr>
              <w:t xml:space="preserve">with bullets. Specify also the key achievements </w:t>
            </w:r>
            <w:r w:rsidRPr="0054661C">
              <w:rPr>
                <w:b/>
                <w:i/>
                <w:color w:val="7F7F7F"/>
                <w:sz w:val="20"/>
                <w:szCs w:val="20"/>
                <w:u w:val="single"/>
              </w:rPr>
              <w:t>In 2015 alone</w:t>
            </w:r>
            <w:r w:rsidRPr="0054661C">
              <w:rPr>
                <w:b/>
                <w:i/>
                <w:color w:val="7F7F7F"/>
                <w:sz w:val="20"/>
                <w:szCs w:val="20"/>
              </w:rPr>
              <w:t xml:space="preserve"> </w:t>
            </w:r>
            <w:r w:rsidRPr="0054661C">
              <w:rPr>
                <w:i/>
                <w:color w:val="7F7F7F"/>
                <w:sz w:val="20"/>
                <w:szCs w:val="20"/>
              </w:rPr>
              <w:t xml:space="preserve">(period January </w:t>
            </w:r>
            <w:r>
              <w:rPr>
                <w:i/>
                <w:color w:val="7F7F7F"/>
                <w:sz w:val="20"/>
                <w:szCs w:val="20"/>
              </w:rPr>
              <w:t>2015</w:t>
            </w:r>
            <w:r w:rsidRPr="0054661C">
              <w:rPr>
                <w:i/>
                <w:color w:val="7F7F7F"/>
                <w:sz w:val="20"/>
                <w:szCs w:val="20"/>
              </w:rPr>
              <w:t>- December 2015):</w:t>
            </w:r>
          </w:p>
          <w:p w14:paraId="6A30C3F7" w14:textId="77777777" w:rsidR="001D3508" w:rsidRPr="0054661C" w:rsidRDefault="001D3508" w:rsidP="003004F6">
            <w:pPr>
              <w:pStyle w:val="Default"/>
              <w:widowControl w:val="0"/>
              <w:spacing w:after="0" w:line="240" w:lineRule="auto"/>
              <w:rPr>
                <w:i/>
                <w:color w:val="7F7F7F"/>
                <w:sz w:val="20"/>
                <w:szCs w:val="20"/>
                <w:lang w:eastAsia="en-GB"/>
              </w:rPr>
            </w:pPr>
            <w:r w:rsidRPr="0054661C">
              <w:rPr>
                <w:i/>
                <w:color w:val="7F7F7F"/>
                <w:sz w:val="20"/>
                <w:szCs w:val="20"/>
                <w:lang w:eastAsia="en-GB"/>
              </w:rPr>
              <w:t xml:space="preserve"> [Type in here. Maximum 170 words]</w:t>
            </w:r>
          </w:p>
          <w:p w14:paraId="6BDAD6BC" w14:textId="77777777" w:rsidR="001D3508" w:rsidRPr="0054661C" w:rsidRDefault="001D3508" w:rsidP="003004F6">
            <w:pPr>
              <w:pStyle w:val="Default"/>
              <w:widowControl w:val="0"/>
              <w:spacing w:after="0" w:line="240" w:lineRule="auto"/>
              <w:rPr>
                <w:b/>
                <w:sz w:val="20"/>
                <w:szCs w:val="20"/>
                <w:lang w:eastAsia="en-GB"/>
              </w:rPr>
            </w:pPr>
          </w:p>
          <w:p w14:paraId="456CEA20" w14:textId="77777777" w:rsidR="001D3508" w:rsidRPr="0054661C" w:rsidRDefault="001D3508" w:rsidP="003004F6">
            <w:pPr>
              <w:pStyle w:val="Default"/>
              <w:widowControl w:val="0"/>
              <w:spacing w:after="0" w:line="240" w:lineRule="auto"/>
              <w:rPr>
                <w:b/>
                <w:sz w:val="20"/>
                <w:szCs w:val="20"/>
                <w:lang w:val="en-GB" w:eastAsia="en-GB"/>
              </w:rPr>
            </w:pPr>
            <w:r w:rsidRPr="0054661C">
              <w:rPr>
                <w:b/>
                <w:sz w:val="20"/>
                <w:szCs w:val="20"/>
                <w:lang w:val="en-GB" w:eastAsia="en-GB"/>
              </w:rPr>
              <w:t>Indicator b:</w:t>
            </w:r>
          </w:p>
          <w:p w14:paraId="7E5EA2F7" w14:textId="77777777" w:rsidR="001D3508" w:rsidRPr="0054661C" w:rsidRDefault="001D3508" w:rsidP="003004F6">
            <w:pPr>
              <w:pStyle w:val="Default"/>
              <w:widowControl w:val="0"/>
              <w:spacing w:after="0" w:line="240" w:lineRule="auto"/>
              <w:rPr>
                <w:i/>
                <w:color w:val="7F7F7F"/>
                <w:sz w:val="20"/>
                <w:szCs w:val="20"/>
              </w:rPr>
            </w:pPr>
            <w:r w:rsidRPr="0054661C">
              <w:rPr>
                <w:rFonts w:cs="Cambria"/>
                <w:i/>
                <w:color w:val="7F7F7F"/>
                <w:sz w:val="20"/>
                <w:szCs w:val="20"/>
              </w:rPr>
              <w:t xml:space="preserve">Start with the overall chapeau text responding to the indicator and thereafter list the </w:t>
            </w:r>
            <w:r w:rsidRPr="0054661C">
              <w:rPr>
                <w:rFonts w:cs="Cambria"/>
                <w:i/>
                <w:color w:val="7F7F7F"/>
                <w:sz w:val="20"/>
                <w:szCs w:val="20"/>
                <w:u w:val="single"/>
              </w:rPr>
              <w:t>cumulative</w:t>
            </w:r>
            <w:r w:rsidRPr="0054661C">
              <w:rPr>
                <w:rFonts w:cs="Cambria"/>
                <w:i/>
                <w:color w:val="7F7F7F"/>
                <w:sz w:val="20"/>
                <w:szCs w:val="20"/>
              </w:rPr>
              <w:t xml:space="preserve"> achievements </w:t>
            </w:r>
            <w:r>
              <w:rPr>
                <w:rFonts w:cs="Cambria"/>
                <w:i/>
                <w:color w:val="7F7F7F"/>
                <w:sz w:val="20"/>
                <w:szCs w:val="20"/>
              </w:rPr>
              <w:t xml:space="preserve">(Nov 2011-Dec 2015) </w:t>
            </w:r>
            <w:r w:rsidRPr="0054661C">
              <w:rPr>
                <w:rFonts w:cs="Cambria"/>
                <w:i/>
                <w:color w:val="7F7F7F"/>
                <w:sz w:val="20"/>
                <w:szCs w:val="20"/>
              </w:rPr>
              <w:t xml:space="preserve">with bullets. Specify also the key achievements </w:t>
            </w:r>
            <w:r w:rsidRPr="0054661C">
              <w:rPr>
                <w:b/>
                <w:i/>
                <w:color w:val="7F7F7F"/>
                <w:sz w:val="20"/>
                <w:szCs w:val="20"/>
                <w:u w:val="single"/>
              </w:rPr>
              <w:t>In 2015 alone</w:t>
            </w:r>
            <w:r w:rsidRPr="0054661C">
              <w:rPr>
                <w:b/>
                <w:i/>
                <w:color w:val="7F7F7F"/>
                <w:sz w:val="20"/>
                <w:szCs w:val="20"/>
              </w:rPr>
              <w:t xml:space="preserve"> </w:t>
            </w:r>
            <w:r w:rsidRPr="0054661C">
              <w:rPr>
                <w:i/>
                <w:color w:val="7F7F7F"/>
                <w:sz w:val="20"/>
                <w:szCs w:val="20"/>
              </w:rPr>
              <w:t xml:space="preserve">(period January </w:t>
            </w:r>
            <w:r>
              <w:rPr>
                <w:i/>
                <w:color w:val="7F7F7F"/>
                <w:sz w:val="20"/>
                <w:szCs w:val="20"/>
              </w:rPr>
              <w:t>2015</w:t>
            </w:r>
            <w:r w:rsidRPr="0054661C">
              <w:rPr>
                <w:i/>
                <w:color w:val="7F7F7F"/>
                <w:sz w:val="20"/>
                <w:szCs w:val="20"/>
              </w:rPr>
              <w:t>- December 2015):</w:t>
            </w:r>
          </w:p>
          <w:p w14:paraId="0F9ED9AA" w14:textId="77777777" w:rsidR="001D3508" w:rsidRPr="0054661C" w:rsidRDefault="001D3508" w:rsidP="003004F6">
            <w:pPr>
              <w:pStyle w:val="Default"/>
              <w:widowControl w:val="0"/>
              <w:spacing w:after="0" w:line="240" w:lineRule="auto"/>
              <w:rPr>
                <w:i/>
                <w:color w:val="7F7F7F"/>
                <w:sz w:val="20"/>
                <w:szCs w:val="20"/>
                <w:lang w:eastAsia="en-GB"/>
              </w:rPr>
            </w:pPr>
            <w:r w:rsidRPr="0054661C">
              <w:rPr>
                <w:i/>
                <w:color w:val="7F7F7F"/>
                <w:sz w:val="20"/>
                <w:szCs w:val="20"/>
                <w:lang w:eastAsia="en-GB"/>
              </w:rPr>
              <w:t xml:space="preserve"> [Type in here. Maximum 170 words]</w:t>
            </w:r>
          </w:p>
          <w:p w14:paraId="5C111304" w14:textId="77777777" w:rsidR="001D3508" w:rsidRPr="0054661C" w:rsidRDefault="001D3508" w:rsidP="003004F6">
            <w:pPr>
              <w:pStyle w:val="Default"/>
              <w:widowControl w:val="0"/>
              <w:spacing w:after="0" w:line="240" w:lineRule="auto"/>
              <w:rPr>
                <w:i/>
                <w:color w:val="595959"/>
                <w:sz w:val="20"/>
                <w:szCs w:val="20"/>
                <w:lang w:eastAsia="en-GB"/>
              </w:rPr>
            </w:pPr>
          </w:p>
          <w:p w14:paraId="16136C81" w14:textId="77777777" w:rsidR="001D3508" w:rsidRPr="0054661C" w:rsidRDefault="001D3508" w:rsidP="003004F6">
            <w:pPr>
              <w:pStyle w:val="Default"/>
              <w:widowControl w:val="0"/>
              <w:spacing w:after="0" w:line="240" w:lineRule="auto"/>
              <w:rPr>
                <w:b/>
                <w:sz w:val="20"/>
                <w:szCs w:val="20"/>
                <w:lang w:val="en-GB" w:eastAsia="en-GB"/>
              </w:rPr>
            </w:pPr>
            <w:r w:rsidRPr="0054661C">
              <w:rPr>
                <w:b/>
                <w:sz w:val="20"/>
                <w:szCs w:val="20"/>
                <w:lang w:val="en-GB" w:eastAsia="en-GB"/>
              </w:rPr>
              <w:t>Indicator c:</w:t>
            </w:r>
          </w:p>
          <w:p w14:paraId="0236417F" w14:textId="77777777" w:rsidR="001D3508" w:rsidRPr="0054661C" w:rsidRDefault="001D3508" w:rsidP="003004F6">
            <w:pPr>
              <w:pStyle w:val="Default"/>
              <w:widowControl w:val="0"/>
              <w:spacing w:after="0" w:line="240" w:lineRule="auto"/>
              <w:rPr>
                <w:i/>
                <w:color w:val="7F7F7F"/>
                <w:sz w:val="20"/>
                <w:szCs w:val="20"/>
              </w:rPr>
            </w:pPr>
            <w:r w:rsidRPr="0054661C">
              <w:rPr>
                <w:rFonts w:cs="Cambria"/>
                <w:i/>
                <w:color w:val="7F7F7F"/>
                <w:sz w:val="20"/>
                <w:szCs w:val="20"/>
              </w:rPr>
              <w:t xml:space="preserve">Start with the overall chapeau text responding to the indicator and thereafter list the </w:t>
            </w:r>
            <w:r w:rsidRPr="0054661C">
              <w:rPr>
                <w:rFonts w:cs="Cambria"/>
                <w:i/>
                <w:color w:val="7F7F7F"/>
                <w:sz w:val="20"/>
                <w:szCs w:val="20"/>
                <w:u w:val="single"/>
              </w:rPr>
              <w:t>cumulative</w:t>
            </w:r>
            <w:r w:rsidRPr="0054661C">
              <w:rPr>
                <w:rFonts w:cs="Cambria"/>
                <w:i/>
                <w:color w:val="7F7F7F"/>
                <w:sz w:val="20"/>
                <w:szCs w:val="20"/>
              </w:rPr>
              <w:t xml:space="preserve"> achievements </w:t>
            </w:r>
            <w:r>
              <w:rPr>
                <w:rFonts w:cs="Cambria"/>
                <w:i/>
                <w:color w:val="7F7F7F"/>
                <w:sz w:val="20"/>
                <w:szCs w:val="20"/>
              </w:rPr>
              <w:t xml:space="preserve">(Nov 2011-Dec 2015) </w:t>
            </w:r>
            <w:r w:rsidRPr="0054661C">
              <w:rPr>
                <w:rFonts w:cs="Cambria"/>
                <w:i/>
                <w:color w:val="7F7F7F"/>
                <w:sz w:val="20"/>
                <w:szCs w:val="20"/>
              </w:rPr>
              <w:t xml:space="preserve">with bullets. Specify also the key achievements </w:t>
            </w:r>
            <w:r w:rsidRPr="0054661C">
              <w:rPr>
                <w:b/>
                <w:i/>
                <w:color w:val="7F7F7F"/>
                <w:sz w:val="20"/>
                <w:szCs w:val="20"/>
                <w:u w:val="single"/>
              </w:rPr>
              <w:t>In 2015 alone</w:t>
            </w:r>
            <w:r w:rsidRPr="0054661C">
              <w:rPr>
                <w:b/>
                <w:i/>
                <w:color w:val="7F7F7F"/>
                <w:sz w:val="20"/>
                <w:szCs w:val="20"/>
              </w:rPr>
              <w:t xml:space="preserve"> </w:t>
            </w:r>
            <w:r w:rsidRPr="0054661C">
              <w:rPr>
                <w:i/>
                <w:color w:val="7F7F7F"/>
                <w:sz w:val="20"/>
                <w:szCs w:val="20"/>
              </w:rPr>
              <w:t xml:space="preserve">(period January </w:t>
            </w:r>
            <w:r>
              <w:rPr>
                <w:i/>
                <w:color w:val="7F7F7F"/>
                <w:sz w:val="20"/>
                <w:szCs w:val="20"/>
              </w:rPr>
              <w:t>2015</w:t>
            </w:r>
            <w:r w:rsidRPr="0054661C">
              <w:rPr>
                <w:i/>
                <w:color w:val="7F7F7F"/>
                <w:sz w:val="20"/>
                <w:szCs w:val="20"/>
              </w:rPr>
              <w:t>- December 2015):</w:t>
            </w:r>
          </w:p>
          <w:p w14:paraId="767B5430" w14:textId="77777777" w:rsidR="001D3508" w:rsidRPr="0054661C" w:rsidRDefault="001D3508" w:rsidP="003004F6">
            <w:pPr>
              <w:pStyle w:val="Default"/>
              <w:widowControl w:val="0"/>
              <w:spacing w:after="0" w:line="240" w:lineRule="auto"/>
              <w:rPr>
                <w:i/>
                <w:color w:val="7F7F7F"/>
                <w:sz w:val="20"/>
                <w:szCs w:val="20"/>
                <w:lang w:eastAsia="en-GB"/>
              </w:rPr>
            </w:pPr>
            <w:r w:rsidRPr="0054661C">
              <w:rPr>
                <w:i/>
                <w:color w:val="7F7F7F"/>
                <w:sz w:val="20"/>
                <w:szCs w:val="20"/>
                <w:lang w:eastAsia="en-GB"/>
              </w:rPr>
              <w:t xml:space="preserve"> [Type in here. Maximum 170 words]</w:t>
            </w:r>
          </w:p>
          <w:p w14:paraId="7459B856" w14:textId="77777777" w:rsidR="001D3508" w:rsidRPr="0054661C" w:rsidRDefault="001D3508" w:rsidP="003004F6">
            <w:pPr>
              <w:pStyle w:val="Default"/>
              <w:widowControl w:val="0"/>
              <w:spacing w:after="0" w:line="240" w:lineRule="auto"/>
              <w:rPr>
                <w:i/>
                <w:color w:val="595959"/>
                <w:sz w:val="20"/>
                <w:szCs w:val="20"/>
                <w:lang w:eastAsia="en-GB"/>
              </w:rPr>
            </w:pPr>
          </w:p>
        </w:tc>
        <w:tc>
          <w:tcPr>
            <w:tcW w:w="1654" w:type="dxa"/>
            <w:tcBorders>
              <w:top w:val="single" w:sz="4" w:space="0" w:color="auto"/>
              <w:left w:val="single" w:sz="4" w:space="0" w:color="auto"/>
              <w:bottom w:val="single" w:sz="4" w:space="0" w:color="auto"/>
              <w:right w:val="single" w:sz="4" w:space="0" w:color="auto"/>
            </w:tcBorders>
            <w:shd w:val="clear" w:color="auto" w:fill="808080"/>
          </w:tcPr>
          <w:p w14:paraId="3101B899" w14:textId="77777777" w:rsidR="001D3508" w:rsidRPr="00BD6183" w:rsidRDefault="001D3508" w:rsidP="003004F6">
            <w:pPr>
              <w:pStyle w:val="Default"/>
              <w:widowControl w:val="0"/>
              <w:spacing w:after="0" w:line="240" w:lineRule="auto"/>
              <w:jc w:val="center"/>
              <w:rPr>
                <w:b/>
                <w:color w:val="auto"/>
                <w:sz w:val="18"/>
                <w:szCs w:val="18"/>
                <w:lang w:eastAsia="en-GB"/>
              </w:rPr>
            </w:pPr>
            <w:r w:rsidRPr="00BD6183">
              <w:rPr>
                <w:b/>
                <w:color w:val="auto"/>
                <w:sz w:val="18"/>
                <w:szCs w:val="18"/>
                <w:lang w:eastAsia="en-GB"/>
              </w:rPr>
              <w:lastRenderedPageBreak/>
              <w:t xml:space="preserve">UNEP, UNDP </w:t>
            </w:r>
          </w:p>
        </w:tc>
      </w:tr>
      <w:tr w:rsidR="001D3508" w:rsidRPr="007A5A88" w14:paraId="7BA6C5CF" w14:textId="77777777" w:rsidTr="001D3508">
        <w:trPr>
          <w:trHeight w:val="319"/>
        </w:trPr>
        <w:tc>
          <w:tcPr>
            <w:tcW w:w="13993" w:type="dxa"/>
            <w:gridSpan w:val="4"/>
            <w:tcBorders>
              <w:left w:val="single" w:sz="4" w:space="0" w:color="auto"/>
              <w:right w:val="single" w:sz="4" w:space="0" w:color="auto"/>
            </w:tcBorders>
            <w:shd w:val="clear" w:color="auto" w:fill="auto"/>
          </w:tcPr>
          <w:p w14:paraId="4D310B68" w14:textId="77777777" w:rsidR="001D3508" w:rsidRPr="0054661C" w:rsidRDefault="001D3508" w:rsidP="003004F6">
            <w:pPr>
              <w:pStyle w:val="Default"/>
              <w:widowControl w:val="0"/>
              <w:spacing w:after="0" w:line="240" w:lineRule="auto"/>
              <w:rPr>
                <w:rStyle w:val="A7"/>
              </w:rPr>
            </w:pPr>
            <w:r>
              <w:rPr>
                <w:b/>
                <w:color w:val="auto"/>
                <w:sz w:val="20"/>
                <w:szCs w:val="20"/>
                <w:lang w:eastAsia="en-GB"/>
              </w:rPr>
              <w:lastRenderedPageBreak/>
              <w:t>Output 6.3</w:t>
            </w:r>
            <w:r w:rsidRPr="0054661C">
              <w:rPr>
                <w:b/>
                <w:color w:val="auto"/>
                <w:sz w:val="20"/>
                <w:szCs w:val="20"/>
                <w:lang w:eastAsia="en-GB"/>
              </w:rPr>
              <w:t xml:space="preserve">. </w:t>
            </w:r>
            <w:r w:rsidRPr="0054661C">
              <w:rPr>
                <w:rStyle w:val="A7"/>
              </w:rPr>
              <w:t>Knowledge management and capacity building products</w:t>
            </w:r>
            <w:r w:rsidRPr="0054661C">
              <w:rPr>
                <w:rStyle w:val="Marquenotebasdepage"/>
                <w:rFonts w:cs="Frutiger LT Std 45 Light"/>
                <w:b/>
                <w:bCs/>
                <w:sz w:val="20"/>
                <w:szCs w:val="20"/>
              </w:rPr>
              <w:footnoteReference w:id="1"/>
            </w:r>
            <w:r w:rsidRPr="0054661C">
              <w:rPr>
                <w:rStyle w:val="A7"/>
              </w:rPr>
              <w:t xml:space="preserve"> made available in January</w:t>
            </w:r>
            <w:r>
              <w:rPr>
                <w:rStyle w:val="A7"/>
              </w:rPr>
              <w:t xml:space="preserve"> 2015</w:t>
            </w:r>
            <w:r w:rsidRPr="0054661C">
              <w:rPr>
                <w:rStyle w:val="A7"/>
              </w:rPr>
              <w:t xml:space="preserve">-December 2015 </w:t>
            </w:r>
          </w:p>
          <w:p w14:paraId="6D8F7703" w14:textId="77777777" w:rsidR="001D3508" w:rsidRDefault="001D3508" w:rsidP="003004F6">
            <w:pPr>
              <w:pStyle w:val="Default"/>
              <w:widowControl w:val="0"/>
              <w:spacing w:after="0" w:line="240" w:lineRule="auto"/>
              <w:rPr>
                <w:i/>
                <w:color w:val="595959"/>
                <w:sz w:val="20"/>
                <w:szCs w:val="20"/>
                <w:lang w:eastAsia="en-GB"/>
              </w:rPr>
            </w:pPr>
          </w:p>
          <w:p w14:paraId="33D58CF3" w14:textId="77777777" w:rsidR="001D3508" w:rsidRDefault="001D3508" w:rsidP="001D3508">
            <w:pPr>
              <w:pStyle w:val="Default"/>
              <w:widowControl w:val="0"/>
              <w:numPr>
                <w:ilvl w:val="0"/>
                <w:numId w:val="4"/>
              </w:numPr>
              <w:spacing w:after="0" w:line="240" w:lineRule="auto"/>
              <w:rPr>
                <w:b/>
                <w:color w:val="auto"/>
                <w:sz w:val="20"/>
                <w:szCs w:val="20"/>
                <w:lang w:eastAsia="en-GB"/>
              </w:rPr>
            </w:pPr>
            <w:proofErr w:type="spellStart"/>
            <w:r>
              <w:rPr>
                <w:color w:val="auto"/>
                <w:sz w:val="20"/>
                <w:szCs w:val="20"/>
                <w:lang w:eastAsia="en-GB"/>
              </w:rPr>
              <w:t>Quaye</w:t>
            </w:r>
            <w:proofErr w:type="spellEnd"/>
            <w:r>
              <w:rPr>
                <w:color w:val="auto"/>
                <w:sz w:val="20"/>
                <w:szCs w:val="20"/>
                <w:lang w:eastAsia="en-GB"/>
              </w:rPr>
              <w:t xml:space="preserve"> et al. (2015), “</w:t>
            </w:r>
            <w:hyperlink r:id="rId8" w:history="1">
              <w:r w:rsidRPr="00B555F4">
                <w:rPr>
                  <w:rStyle w:val="Lienhypertexte"/>
                  <w:sz w:val="20"/>
                  <w:szCs w:val="20"/>
                  <w:lang w:eastAsia="en-GB"/>
                </w:rPr>
                <w:t xml:space="preserve">Does the current land </w:t>
              </w:r>
              <w:proofErr w:type="spellStart"/>
              <w:r w:rsidRPr="00B555F4">
                <w:rPr>
                  <w:rStyle w:val="Lienhypertexte"/>
                  <w:sz w:val="20"/>
                  <w:szCs w:val="20"/>
                  <w:lang w:eastAsia="en-GB"/>
                </w:rPr>
                <w:t>tenurial</w:t>
              </w:r>
              <w:proofErr w:type="spellEnd"/>
              <w:r w:rsidRPr="00B555F4">
                <w:rPr>
                  <w:rStyle w:val="Lienhypertexte"/>
                  <w:sz w:val="20"/>
                  <w:szCs w:val="20"/>
                  <w:lang w:eastAsia="en-GB"/>
                </w:rPr>
                <w:t xml:space="preserve"> arrangement in Ghana incentivize adoption of environmentally sustainable cocoa production practices? A case study of four selected cocoa growing districts in Ghana”.</w:t>
              </w:r>
            </w:hyperlink>
            <w:r>
              <w:rPr>
                <w:color w:val="auto"/>
                <w:sz w:val="20"/>
                <w:szCs w:val="20"/>
                <w:lang w:eastAsia="en-GB"/>
              </w:rPr>
              <w:t xml:space="preserve"> </w:t>
            </w:r>
          </w:p>
          <w:p w14:paraId="228D1E9F" w14:textId="77777777" w:rsidR="001D3508" w:rsidRDefault="00F414CA" w:rsidP="001D3508">
            <w:pPr>
              <w:pStyle w:val="Default"/>
              <w:widowControl w:val="0"/>
              <w:numPr>
                <w:ilvl w:val="0"/>
                <w:numId w:val="4"/>
              </w:numPr>
              <w:spacing w:after="0" w:line="240" w:lineRule="auto"/>
              <w:rPr>
                <w:b/>
                <w:color w:val="auto"/>
                <w:sz w:val="20"/>
                <w:szCs w:val="20"/>
                <w:lang w:eastAsia="en-GB"/>
              </w:rPr>
            </w:pPr>
            <w:hyperlink r:id="rId9" w:history="1">
              <w:r w:rsidR="001D3508" w:rsidRPr="00B555F4">
                <w:rPr>
                  <w:rStyle w:val="Lienhypertexte"/>
                  <w:sz w:val="20"/>
                  <w:szCs w:val="20"/>
                  <w:lang w:eastAsia="en-GB"/>
                </w:rPr>
                <w:t>Website of the Indonesian Palm Oil Platform</w:t>
              </w:r>
            </w:hyperlink>
            <w:r w:rsidR="001D3508" w:rsidRPr="00B555F4">
              <w:rPr>
                <w:b/>
                <w:color w:val="auto"/>
                <w:sz w:val="20"/>
                <w:szCs w:val="20"/>
                <w:lang w:eastAsia="en-GB"/>
              </w:rPr>
              <w:t xml:space="preserve"> </w:t>
            </w:r>
          </w:p>
          <w:p w14:paraId="1ADC7329" w14:textId="77777777" w:rsidR="001D3508" w:rsidRPr="002208B9" w:rsidRDefault="001D3508" w:rsidP="001D3508">
            <w:pPr>
              <w:pStyle w:val="Default"/>
              <w:widowControl w:val="0"/>
              <w:numPr>
                <w:ilvl w:val="0"/>
                <w:numId w:val="4"/>
              </w:numPr>
              <w:spacing w:after="0" w:line="240" w:lineRule="auto"/>
              <w:rPr>
                <w:color w:val="auto"/>
                <w:sz w:val="20"/>
                <w:szCs w:val="20"/>
                <w:lang w:eastAsia="en-GB"/>
              </w:rPr>
            </w:pPr>
            <w:r w:rsidRPr="002208B9">
              <w:rPr>
                <w:color w:val="auto"/>
                <w:sz w:val="20"/>
                <w:szCs w:val="20"/>
                <w:lang w:eastAsia="en-GB"/>
              </w:rPr>
              <w:t xml:space="preserve">Guidance on best practices to run National Commodity Platforms available on an open </w:t>
            </w:r>
            <w:hyperlink r:id="rId10" w:history="1">
              <w:r w:rsidRPr="002208B9">
                <w:rPr>
                  <w:rStyle w:val="Lienhypertexte"/>
                  <w:sz w:val="20"/>
                  <w:szCs w:val="20"/>
                  <w:lang w:eastAsia="en-GB"/>
                </w:rPr>
                <w:t>Google Drive</w:t>
              </w:r>
            </w:hyperlink>
            <w:r>
              <w:rPr>
                <w:color w:val="auto"/>
                <w:sz w:val="20"/>
                <w:szCs w:val="20"/>
                <w:lang w:eastAsia="en-GB"/>
              </w:rPr>
              <w:t xml:space="preserve">, including </w:t>
            </w:r>
            <w:hyperlink r:id="rId11" w:history="1">
              <w:r w:rsidRPr="002208B9">
                <w:rPr>
                  <w:rStyle w:val="Lienhypertexte"/>
                  <w:sz w:val="20"/>
                  <w:szCs w:val="20"/>
                  <w:lang w:eastAsia="en-GB"/>
                </w:rPr>
                <w:t>Webinars</w:t>
              </w:r>
            </w:hyperlink>
            <w:r>
              <w:rPr>
                <w:color w:val="auto"/>
                <w:sz w:val="20"/>
                <w:szCs w:val="20"/>
                <w:lang w:eastAsia="en-GB"/>
              </w:rPr>
              <w:t xml:space="preserve"> and a </w:t>
            </w:r>
            <w:hyperlink r:id="rId12" w:history="1">
              <w:r w:rsidRPr="002208B9">
                <w:rPr>
                  <w:rStyle w:val="Lienhypertexte"/>
                  <w:sz w:val="20"/>
                  <w:szCs w:val="20"/>
                  <w:lang w:eastAsia="en-GB"/>
                </w:rPr>
                <w:t>Workbook</w:t>
              </w:r>
            </w:hyperlink>
          </w:p>
          <w:p w14:paraId="163AA49E" w14:textId="77777777" w:rsidR="001D3508" w:rsidRPr="00B555F4" w:rsidRDefault="001D3508" w:rsidP="003004F6">
            <w:pPr>
              <w:pStyle w:val="Default"/>
              <w:widowControl w:val="0"/>
              <w:spacing w:after="0" w:line="240" w:lineRule="auto"/>
              <w:ind w:left="720"/>
              <w:rPr>
                <w:b/>
                <w:color w:val="auto"/>
                <w:sz w:val="20"/>
                <w:szCs w:val="20"/>
                <w:lang w:eastAsia="en-GB"/>
              </w:rPr>
            </w:pPr>
          </w:p>
        </w:tc>
        <w:tc>
          <w:tcPr>
            <w:tcW w:w="1654" w:type="dxa"/>
            <w:tcBorders>
              <w:top w:val="single" w:sz="4" w:space="0" w:color="auto"/>
              <w:left w:val="single" w:sz="4" w:space="0" w:color="auto"/>
              <w:bottom w:val="single" w:sz="4" w:space="0" w:color="auto"/>
              <w:right w:val="single" w:sz="4" w:space="0" w:color="auto"/>
            </w:tcBorders>
            <w:shd w:val="clear" w:color="auto" w:fill="808080"/>
          </w:tcPr>
          <w:p w14:paraId="62CA0821" w14:textId="77777777" w:rsidR="001D3508" w:rsidRPr="0089362E" w:rsidRDefault="001D3508" w:rsidP="003004F6">
            <w:pPr>
              <w:rPr>
                <w:rFonts w:ascii="Calibri" w:hAnsi="Calibri"/>
              </w:rPr>
            </w:pPr>
            <w:r w:rsidRPr="0089362E">
              <w:rPr>
                <w:rFonts w:ascii="Calibri" w:hAnsi="Calibri"/>
                <w:b/>
                <w:sz w:val="18"/>
                <w:szCs w:val="18"/>
                <w:lang w:eastAsia="en-GB"/>
              </w:rPr>
              <w:t>UNEP, UNDP</w:t>
            </w:r>
          </w:p>
        </w:tc>
      </w:tr>
      <w:tr w:rsidR="001D3508" w:rsidRPr="007A5A88" w14:paraId="789F9BC6" w14:textId="77777777" w:rsidTr="001D3508">
        <w:trPr>
          <w:trHeight w:val="319"/>
        </w:trPr>
        <w:tc>
          <w:tcPr>
            <w:tcW w:w="13993" w:type="dxa"/>
            <w:gridSpan w:val="4"/>
            <w:tcBorders>
              <w:left w:val="single" w:sz="4" w:space="0" w:color="auto"/>
              <w:right w:val="single" w:sz="4" w:space="0" w:color="auto"/>
            </w:tcBorders>
            <w:shd w:val="clear" w:color="auto" w:fill="auto"/>
          </w:tcPr>
          <w:p w14:paraId="47FF7EA6" w14:textId="77777777" w:rsidR="001D3508" w:rsidRPr="0054661C" w:rsidRDefault="001D3508" w:rsidP="003004F6">
            <w:pPr>
              <w:pStyle w:val="Default"/>
              <w:widowControl w:val="0"/>
              <w:spacing w:after="0" w:line="240" w:lineRule="auto"/>
              <w:rPr>
                <w:b/>
                <w:color w:val="auto"/>
                <w:sz w:val="20"/>
                <w:szCs w:val="20"/>
                <w:lang w:eastAsia="en-GB"/>
              </w:rPr>
            </w:pPr>
            <w:r>
              <w:rPr>
                <w:b/>
                <w:color w:val="auto"/>
                <w:sz w:val="20"/>
                <w:szCs w:val="20"/>
                <w:lang w:eastAsia="en-GB"/>
              </w:rPr>
              <w:t>Output 6.3</w:t>
            </w:r>
            <w:r w:rsidRPr="0054661C">
              <w:rPr>
                <w:b/>
                <w:color w:val="auto"/>
                <w:sz w:val="20"/>
                <w:szCs w:val="20"/>
                <w:lang w:eastAsia="en-GB"/>
              </w:rPr>
              <w:t>. Risks and challenges, and corrective actions planned or taken</w:t>
            </w:r>
          </w:p>
          <w:p w14:paraId="2FAA883D" w14:textId="77777777" w:rsidR="001D3508" w:rsidRDefault="001D3508" w:rsidP="003004F6">
            <w:pPr>
              <w:pStyle w:val="Default"/>
              <w:widowControl w:val="0"/>
              <w:spacing w:after="0" w:line="240" w:lineRule="auto"/>
              <w:rPr>
                <w:i/>
                <w:color w:val="595959"/>
                <w:sz w:val="20"/>
                <w:szCs w:val="20"/>
                <w:lang w:eastAsia="en-GB"/>
              </w:rPr>
            </w:pPr>
          </w:p>
          <w:p w14:paraId="3C394F26" w14:textId="77777777" w:rsidR="001D3508" w:rsidRPr="002208B9" w:rsidRDefault="001D3508" w:rsidP="001D3508">
            <w:pPr>
              <w:pStyle w:val="Default"/>
              <w:widowControl w:val="0"/>
              <w:numPr>
                <w:ilvl w:val="0"/>
                <w:numId w:val="5"/>
              </w:numPr>
              <w:spacing w:after="0" w:line="240" w:lineRule="auto"/>
              <w:rPr>
                <w:i/>
                <w:color w:val="595959"/>
                <w:sz w:val="20"/>
                <w:szCs w:val="20"/>
                <w:lang w:eastAsia="en-GB"/>
              </w:rPr>
            </w:pPr>
            <w:r>
              <w:rPr>
                <w:b/>
                <w:color w:val="auto"/>
                <w:sz w:val="20"/>
                <w:szCs w:val="20"/>
                <w:lang w:eastAsia="en-GB"/>
              </w:rPr>
              <w:t xml:space="preserve">In Peru, </w:t>
            </w:r>
            <w:r>
              <w:rPr>
                <w:color w:val="auto"/>
                <w:sz w:val="20"/>
                <w:szCs w:val="20"/>
                <w:lang w:eastAsia="en-GB"/>
              </w:rPr>
              <w:t xml:space="preserve">the platform proposal has faced a certain lack of political buy in from the Ministry of Agriculture, despite interest from both the private sector and civil society. This is due to the fact that the current government administration will leave office in middle 2016, and therefore does not want to commit to highly participatory processes with a longer time horizon. In this context, UNDP continues to engage public and private stakeholders and provide technical advice to strengthen the governance sector. At the same time it will plan to propose the platform to the newly elected government in early 2016. </w:t>
            </w:r>
            <w:r w:rsidR="006E46D9">
              <w:rPr>
                <w:color w:val="auto"/>
                <w:sz w:val="20"/>
                <w:szCs w:val="20"/>
                <w:lang w:eastAsia="en-GB"/>
              </w:rPr>
              <w:t xml:space="preserve">It also provided technical advice to the Peru Government’s successful incorporation of the platform mechanism into the GEF-financed regional Amazon </w:t>
            </w:r>
            <w:proofErr w:type="spellStart"/>
            <w:r w:rsidR="006E46D9">
              <w:rPr>
                <w:color w:val="auto"/>
                <w:sz w:val="20"/>
                <w:szCs w:val="20"/>
                <w:lang w:eastAsia="en-GB"/>
              </w:rPr>
              <w:t>Programme</w:t>
            </w:r>
            <w:proofErr w:type="spellEnd"/>
            <w:r w:rsidR="006E46D9">
              <w:rPr>
                <w:color w:val="auto"/>
                <w:sz w:val="20"/>
                <w:szCs w:val="20"/>
                <w:lang w:eastAsia="en-GB"/>
              </w:rPr>
              <w:t xml:space="preserve">, as one o the implementation strategies for Sustainable Productive Landscape initiative in Peru. </w:t>
            </w:r>
          </w:p>
          <w:p w14:paraId="7D9E271D" w14:textId="77777777" w:rsidR="001D3508" w:rsidRPr="006E46D9" w:rsidRDefault="001D3508" w:rsidP="001D3508">
            <w:pPr>
              <w:pStyle w:val="Default"/>
              <w:widowControl w:val="0"/>
              <w:numPr>
                <w:ilvl w:val="0"/>
                <w:numId w:val="5"/>
              </w:numPr>
              <w:spacing w:after="0" w:line="240" w:lineRule="auto"/>
              <w:rPr>
                <w:i/>
                <w:color w:val="595959"/>
                <w:sz w:val="20"/>
                <w:szCs w:val="20"/>
                <w:lang w:eastAsia="en-GB"/>
              </w:rPr>
            </w:pPr>
            <w:r>
              <w:rPr>
                <w:b/>
                <w:color w:val="auto"/>
                <w:sz w:val="20"/>
                <w:szCs w:val="20"/>
                <w:lang w:eastAsia="en-GB"/>
              </w:rPr>
              <w:t xml:space="preserve">In Ghana, </w:t>
            </w:r>
            <w:r>
              <w:rPr>
                <w:color w:val="auto"/>
                <w:sz w:val="20"/>
                <w:szCs w:val="20"/>
                <w:lang w:eastAsia="en-GB"/>
              </w:rPr>
              <w:t>the Cocoa Platform has been fully mainstreamed in Ghana Cocoa Board to complete national appropriation. This has raised several challenges in terms of maintaining the platform as a multi-stakeholder mechanism providing space for open dialogue, consensus building and agreement on collective actions for all actors. It also means that activities were put on hold during the year 2015 and that there is a need to get strong political buy-in and commitment from COCOBOD for the year 2016. To address this, close and regular support is given to the platform team to train them on best practices for running national commodity platforms following UNDP’s approach.</w:t>
            </w:r>
          </w:p>
          <w:p w14:paraId="374F7A39" w14:textId="77777777" w:rsidR="006E46D9" w:rsidRPr="00330DC6" w:rsidRDefault="006E46D9" w:rsidP="006E46D9">
            <w:pPr>
              <w:pStyle w:val="Default"/>
              <w:widowControl w:val="0"/>
              <w:spacing w:after="0" w:line="240" w:lineRule="auto"/>
              <w:ind w:left="720"/>
              <w:rPr>
                <w:i/>
                <w:color w:val="595959"/>
                <w:sz w:val="20"/>
                <w:szCs w:val="20"/>
                <w:lang w:eastAsia="en-GB"/>
              </w:rPr>
            </w:pPr>
          </w:p>
          <w:p w14:paraId="7F10ABC1" w14:textId="77777777" w:rsidR="001D3508" w:rsidRPr="00330DC6" w:rsidRDefault="001D3508" w:rsidP="001D3508">
            <w:pPr>
              <w:pStyle w:val="Default"/>
              <w:widowControl w:val="0"/>
              <w:numPr>
                <w:ilvl w:val="0"/>
                <w:numId w:val="5"/>
              </w:numPr>
              <w:spacing w:after="0" w:line="240" w:lineRule="auto"/>
              <w:rPr>
                <w:i/>
                <w:color w:val="595959"/>
                <w:sz w:val="20"/>
                <w:szCs w:val="20"/>
                <w:lang w:eastAsia="en-GB"/>
              </w:rPr>
            </w:pPr>
            <w:r w:rsidRPr="00330DC6">
              <w:rPr>
                <w:b/>
                <w:color w:val="auto"/>
                <w:sz w:val="20"/>
                <w:szCs w:val="20"/>
                <w:lang w:eastAsia="en-GB"/>
              </w:rPr>
              <w:t xml:space="preserve">In Indonesia, </w:t>
            </w:r>
            <w:r w:rsidRPr="00330DC6">
              <w:rPr>
                <w:color w:val="auto"/>
                <w:sz w:val="20"/>
                <w:szCs w:val="20"/>
                <w:lang w:eastAsia="en-GB"/>
              </w:rPr>
              <w:t>shortages in resources and capacities have slowed processes in 2015. To remedy this, active fundraising activities are being car</w:t>
            </w:r>
            <w:r>
              <w:rPr>
                <w:color w:val="auto"/>
                <w:sz w:val="20"/>
                <w:szCs w:val="20"/>
                <w:lang w:eastAsia="en-GB"/>
              </w:rPr>
              <w:t>ried out, team members were trained to build their capacity to run the platform and new team members were hired to have a team fully on board and capacitated in 2016.</w:t>
            </w:r>
          </w:p>
          <w:p w14:paraId="3D99FD28" w14:textId="77777777" w:rsidR="001D3508" w:rsidRPr="00330DC6" w:rsidRDefault="001D3508" w:rsidP="003004F6">
            <w:pPr>
              <w:pStyle w:val="Default"/>
              <w:widowControl w:val="0"/>
              <w:spacing w:after="0" w:line="240" w:lineRule="auto"/>
              <w:ind w:left="720"/>
              <w:rPr>
                <w:i/>
                <w:color w:val="595959"/>
                <w:sz w:val="20"/>
                <w:szCs w:val="20"/>
                <w:lang w:eastAsia="en-GB"/>
              </w:rPr>
            </w:pPr>
          </w:p>
          <w:p w14:paraId="5791ACB0" w14:textId="77777777" w:rsidR="001D3508" w:rsidRPr="0089362E" w:rsidRDefault="001D3508" w:rsidP="003004F6">
            <w:pPr>
              <w:pStyle w:val="Default"/>
              <w:widowControl w:val="0"/>
              <w:spacing w:after="0" w:line="240" w:lineRule="auto"/>
              <w:rPr>
                <w:i/>
                <w:color w:val="595959"/>
                <w:sz w:val="20"/>
                <w:szCs w:val="20"/>
                <w:lang w:eastAsia="en-GB"/>
              </w:rPr>
            </w:pPr>
            <w:r w:rsidRPr="0089362E">
              <w:rPr>
                <w:i/>
                <w:color w:val="595959"/>
                <w:sz w:val="20"/>
                <w:szCs w:val="20"/>
                <w:lang w:eastAsia="en-GB"/>
              </w:rPr>
              <w:t>Describe any challenges faced with reference to the target/ indicator, or in general under the output. Provide a brief description of contingency measures taken (or that will be taken) to address the challenges. Also, if the challenge (implementation delay etc.) has resulted in a lower financial delivery than expected, please indicate.</w:t>
            </w:r>
          </w:p>
          <w:p w14:paraId="0A9ACEE2" w14:textId="77777777" w:rsidR="001D3508" w:rsidRPr="0054661C" w:rsidRDefault="001D3508" w:rsidP="003004F6">
            <w:pPr>
              <w:pStyle w:val="Default"/>
              <w:widowControl w:val="0"/>
              <w:spacing w:after="0" w:line="240" w:lineRule="auto"/>
              <w:rPr>
                <w:i/>
                <w:color w:val="595959"/>
                <w:sz w:val="20"/>
                <w:szCs w:val="20"/>
                <w:lang w:eastAsia="en-GB"/>
              </w:rPr>
            </w:pPr>
            <w:r w:rsidRPr="0054661C">
              <w:rPr>
                <w:i/>
                <w:color w:val="595959"/>
                <w:sz w:val="20"/>
                <w:szCs w:val="20"/>
                <w:lang w:eastAsia="en-GB"/>
              </w:rPr>
              <w:t>[Type here. Maximum 150 words]</w:t>
            </w:r>
          </w:p>
          <w:p w14:paraId="6FFF59A3" w14:textId="77777777" w:rsidR="001D3508" w:rsidRPr="0054661C" w:rsidRDefault="001D3508" w:rsidP="003004F6">
            <w:pPr>
              <w:pStyle w:val="Default"/>
              <w:widowControl w:val="0"/>
              <w:spacing w:after="0" w:line="240" w:lineRule="auto"/>
              <w:rPr>
                <w:b/>
                <w:color w:val="auto"/>
                <w:sz w:val="20"/>
                <w:szCs w:val="20"/>
                <w:lang w:eastAsia="en-GB"/>
              </w:rPr>
            </w:pPr>
          </w:p>
          <w:p w14:paraId="321EC27E" w14:textId="77777777" w:rsidR="001D3508" w:rsidRPr="0054661C" w:rsidRDefault="001D3508" w:rsidP="003004F6">
            <w:pPr>
              <w:pStyle w:val="Default"/>
              <w:widowControl w:val="0"/>
              <w:spacing w:after="0" w:line="240" w:lineRule="auto"/>
              <w:rPr>
                <w:b/>
                <w:color w:val="auto"/>
                <w:sz w:val="20"/>
                <w:szCs w:val="20"/>
                <w:lang w:eastAsia="en-GB"/>
              </w:rPr>
            </w:pPr>
          </w:p>
        </w:tc>
        <w:tc>
          <w:tcPr>
            <w:tcW w:w="1654" w:type="dxa"/>
            <w:tcBorders>
              <w:top w:val="single" w:sz="4" w:space="0" w:color="auto"/>
              <w:left w:val="single" w:sz="4" w:space="0" w:color="auto"/>
              <w:bottom w:val="single" w:sz="4" w:space="0" w:color="auto"/>
              <w:right w:val="single" w:sz="4" w:space="0" w:color="auto"/>
            </w:tcBorders>
            <w:shd w:val="clear" w:color="auto" w:fill="808080"/>
          </w:tcPr>
          <w:p w14:paraId="61183469" w14:textId="77777777" w:rsidR="001D3508" w:rsidRPr="0089362E" w:rsidRDefault="001D3508" w:rsidP="003004F6">
            <w:pPr>
              <w:rPr>
                <w:rFonts w:ascii="Calibri" w:hAnsi="Calibri"/>
              </w:rPr>
            </w:pPr>
            <w:r w:rsidRPr="0089362E">
              <w:rPr>
                <w:rFonts w:ascii="Calibri" w:hAnsi="Calibri"/>
                <w:b/>
                <w:sz w:val="18"/>
                <w:szCs w:val="18"/>
                <w:lang w:eastAsia="en-GB"/>
              </w:rPr>
              <w:t>UNEP, UNDP</w:t>
            </w:r>
          </w:p>
        </w:tc>
      </w:tr>
      <w:tr w:rsidR="001D3508" w:rsidRPr="00330DC6" w14:paraId="0535B1F7" w14:textId="77777777" w:rsidTr="001D3508">
        <w:trPr>
          <w:trHeight w:val="319"/>
        </w:trPr>
        <w:tc>
          <w:tcPr>
            <w:tcW w:w="13993" w:type="dxa"/>
            <w:gridSpan w:val="4"/>
            <w:tcBorders>
              <w:left w:val="single" w:sz="4" w:space="0" w:color="auto"/>
              <w:right w:val="single" w:sz="4" w:space="0" w:color="auto"/>
            </w:tcBorders>
            <w:shd w:val="clear" w:color="auto" w:fill="auto"/>
          </w:tcPr>
          <w:p w14:paraId="1E27EFE5" w14:textId="77777777" w:rsidR="001D3508" w:rsidRPr="00330DC6" w:rsidRDefault="001D3508" w:rsidP="003004F6">
            <w:pPr>
              <w:rPr>
                <w:rFonts w:ascii="Calibri" w:hAnsi="Calibri" w:cs="Calibri"/>
                <w:b/>
                <w:sz w:val="20"/>
                <w:lang w:eastAsia="en-GB"/>
              </w:rPr>
            </w:pPr>
            <w:r w:rsidRPr="00330DC6">
              <w:rPr>
                <w:rFonts w:ascii="Calibri" w:hAnsi="Calibri" w:cs="Calibri"/>
                <w:b/>
                <w:sz w:val="20"/>
                <w:lang w:eastAsia="en-GB"/>
              </w:rPr>
              <w:t xml:space="preserve">Output 6.3. Gender sensitive measures taken and results achieved </w:t>
            </w:r>
          </w:p>
          <w:p w14:paraId="7D2AEC7E" w14:textId="77777777" w:rsidR="001D3508" w:rsidRPr="00330DC6" w:rsidRDefault="001D3508" w:rsidP="003004F6">
            <w:pPr>
              <w:pStyle w:val="Default"/>
              <w:widowControl w:val="0"/>
              <w:spacing w:after="0" w:line="240" w:lineRule="auto"/>
              <w:rPr>
                <w:rFonts w:cs="Times New Roman"/>
                <w:i/>
                <w:iCs/>
                <w:color w:val="auto"/>
                <w:sz w:val="20"/>
                <w:szCs w:val="20"/>
              </w:rPr>
            </w:pPr>
          </w:p>
          <w:p w14:paraId="72BFA8D6" w14:textId="77777777" w:rsidR="001D3508" w:rsidRPr="006E46D9" w:rsidRDefault="001D3508" w:rsidP="001D3508">
            <w:pPr>
              <w:pStyle w:val="Default"/>
              <w:widowControl w:val="0"/>
              <w:numPr>
                <w:ilvl w:val="0"/>
                <w:numId w:val="6"/>
              </w:numPr>
              <w:spacing w:after="0" w:line="240" w:lineRule="auto"/>
              <w:rPr>
                <w:rFonts w:cs="Times New Roman"/>
                <w:b/>
                <w:iCs/>
                <w:color w:val="auto"/>
                <w:sz w:val="20"/>
                <w:szCs w:val="20"/>
              </w:rPr>
            </w:pPr>
            <w:r w:rsidRPr="00330DC6">
              <w:rPr>
                <w:rFonts w:cs="Times New Roman"/>
                <w:b/>
                <w:iCs/>
                <w:color w:val="auto"/>
                <w:sz w:val="20"/>
                <w:szCs w:val="20"/>
              </w:rPr>
              <w:t xml:space="preserve">In Peru, </w:t>
            </w:r>
            <w:r w:rsidRPr="00330DC6">
              <w:rPr>
                <w:rFonts w:cs="Times New Roman"/>
                <w:iCs/>
                <w:color w:val="auto"/>
                <w:sz w:val="20"/>
                <w:szCs w:val="20"/>
              </w:rPr>
              <w:t>the studies conducted adopted a gender sensitive approach both in their methodol</w:t>
            </w:r>
            <w:r>
              <w:rPr>
                <w:rFonts w:cs="Times New Roman"/>
                <w:iCs/>
                <w:color w:val="auto"/>
                <w:sz w:val="20"/>
                <w:szCs w:val="20"/>
              </w:rPr>
              <w:t xml:space="preserve">ogy as well as in their content, meaning both women and men participated in the assessments and the studies addressed issues related to gender impacting their main topic of research. During the consultation sessions, attention was paid to ensure balanced attendance of men and women and facilitation of discussion helped ensuring equal capacities to take part in discussions. </w:t>
            </w:r>
          </w:p>
          <w:p w14:paraId="3DBD1EBE" w14:textId="77777777" w:rsidR="006E46D9" w:rsidRPr="00330DC6" w:rsidRDefault="006E46D9" w:rsidP="006E46D9">
            <w:pPr>
              <w:pStyle w:val="Default"/>
              <w:widowControl w:val="0"/>
              <w:spacing w:after="0" w:line="240" w:lineRule="auto"/>
              <w:ind w:left="720"/>
              <w:rPr>
                <w:rFonts w:cs="Times New Roman"/>
                <w:b/>
                <w:iCs/>
                <w:color w:val="auto"/>
                <w:sz w:val="20"/>
                <w:szCs w:val="20"/>
              </w:rPr>
            </w:pPr>
          </w:p>
          <w:p w14:paraId="1B512263" w14:textId="33A93126" w:rsidR="001D3508" w:rsidRPr="006E46D9" w:rsidRDefault="001D3508" w:rsidP="001D3508">
            <w:pPr>
              <w:pStyle w:val="Default"/>
              <w:widowControl w:val="0"/>
              <w:numPr>
                <w:ilvl w:val="0"/>
                <w:numId w:val="6"/>
              </w:numPr>
              <w:spacing w:after="0" w:line="240" w:lineRule="auto"/>
              <w:rPr>
                <w:rFonts w:cs="Times New Roman"/>
                <w:b/>
                <w:iCs/>
                <w:color w:val="auto"/>
                <w:sz w:val="20"/>
                <w:szCs w:val="20"/>
              </w:rPr>
            </w:pPr>
            <w:r>
              <w:rPr>
                <w:rFonts w:cs="Times New Roman"/>
                <w:b/>
                <w:iCs/>
                <w:color w:val="auto"/>
                <w:sz w:val="20"/>
                <w:szCs w:val="20"/>
              </w:rPr>
              <w:t xml:space="preserve">In Ghana, </w:t>
            </w:r>
            <w:r>
              <w:rPr>
                <w:rFonts w:cs="Times New Roman"/>
                <w:iCs/>
                <w:color w:val="auto"/>
                <w:sz w:val="20"/>
                <w:szCs w:val="20"/>
              </w:rPr>
              <w:t>training, support for registration of trees and free-seedlings are provided equally to men and women in the communities.</w:t>
            </w:r>
            <w:r w:rsidR="00F414CA">
              <w:rPr>
                <w:rFonts w:cs="Times New Roman"/>
                <w:iCs/>
                <w:color w:val="auto"/>
                <w:sz w:val="20"/>
                <w:szCs w:val="20"/>
              </w:rPr>
              <w:t xml:space="preserve"> The </w:t>
            </w:r>
            <w:proofErr w:type="gramStart"/>
            <w:r w:rsidR="00F414CA">
              <w:rPr>
                <w:rFonts w:cs="Times New Roman"/>
                <w:iCs/>
                <w:color w:val="auto"/>
                <w:sz w:val="20"/>
                <w:szCs w:val="20"/>
              </w:rPr>
              <w:t>support provided acknowledge</w:t>
            </w:r>
            <w:proofErr w:type="gramEnd"/>
            <w:r w:rsidR="00F414CA">
              <w:rPr>
                <w:rFonts w:cs="Times New Roman"/>
                <w:iCs/>
                <w:color w:val="auto"/>
                <w:sz w:val="20"/>
                <w:szCs w:val="20"/>
              </w:rPr>
              <w:t xml:space="preserve"> and takes into consideration the different roles and needs of men and women. </w:t>
            </w:r>
            <w:bookmarkStart w:id="0" w:name="_GoBack"/>
            <w:bookmarkEnd w:id="0"/>
          </w:p>
          <w:p w14:paraId="12A0EEC2" w14:textId="77777777" w:rsidR="006E46D9" w:rsidRPr="00EC0582" w:rsidRDefault="006E46D9" w:rsidP="006E46D9">
            <w:pPr>
              <w:pStyle w:val="Default"/>
              <w:widowControl w:val="0"/>
              <w:spacing w:after="0" w:line="240" w:lineRule="auto"/>
              <w:ind w:left="720"/>
              <w:rPr>
                <w:rFonts w:cs="Times New Roman"/>
                <w:b/>
                <w:iCs/>
                <w:color w:val="auto"/>
                <w:sz w:val="20"/>
                <w:szCs w:val="20"/>
              </w:rPr>
            </w:pPr>
          </w:p>
          <w:p w14:paraId="42F44432" w14:textId="77777777" w:rsidR="001D3508" w:rsidRPr="00EC0582" w:rsidRDefault="001D3508" w:rsidP="001D3508">
            <w:pPr>
              <w:pStyle w:val="Default"/>
              <w:widowControl w:val="0"/>
              <w:numPr>
                <w:ilvl w:val="0"/>
                <w:numId w:val="6"/>
              </w:numPr>
              <w:spacing w:after="0" w:line="240" w:lineRule="auto"/>
              <w:rPr>
                <w:rFonts w:cs="Times New Roman"/>
                <w:b/>
                <w:iCs/>
                <w:color w:val="auto"/>
                <w:sz w:val="20"/>
                <w:szCs w:val="20"/>
              </w:rPr>
            </w:pPr>
            <w:r>
              <w:rPr>
                <w:rFonts w:cs="Times New Roman"/>
                <w:b/>
                <w:iCs/>
                <w:color w:val="auto"/>
                <w:sz w:val="20"/>
                <w:szCs w:val="20"/>
              </w:rPr>
              <w:t>In Indonesia,</w:t>
            </w:r>
            <w:r w:rsidR="006E46D9">
              <w:rPr>
                <w:rFonts w:cs="Times New Roman"/>
                <w:b/>
                <w:iCs/>
                <w:color w:val="auto"/>
                <w:sz w:val="20"/>
                <w:szCs w:val="20"/>
              </w:rPr>
              <w:t xml:space="preserve"> </w:t>
            </w:r>
            <w:r w:rsidR="006E46D9">
              <w:rPr>
                <w:rFonts w:cs="Times New Roman"/>
                <w:iCs/>
                <w:color w:val="auto"/>
                <w:sz w:val="20"/>
                <w:szCs w:val="20"/>
              </w:rPr>
              <w:t xml:space="preserve">the UNDP country office gender focal point was fully mobilized </w:t>
            </w:r>
            <w:r>
              <w:rPr>
                <w:rFonts w:cs="Times New Roman"/>
                <w:iCs/>
                <w:color w:val="auto"/>
                <w:sz w:val="20"/>
                <w:szCs w:val="20"/>
              </w:rPr>
              <w:t>to ensure gender-sensitive methodologies are adopted by the palm oil platform and gender issue</w:t>
            </w:r>
            <w:r w:rsidR="006E46D9">
              <w:rPr>
                <w:rFonts w:cs="Times New Roman"/>
                <w:iCs/>
                <w:color w:val="auto"/>
                <w:sz w:val="20"/>
                <w:szCs w:val="20"/>
              </w:rPr>
              <w:t>s</w:t>
            </w:r>
            <w:r>
              <w:rPr>
                <w:rFonts w:cs="Times New Roman"/>
                <w:iCs/>
                <w:color w:val="auto"/>
                <w:sz w:val="20"/>
                <w:szCs w:val="20"/>
              </w:rPr>
              <w:t xml:space="preserve"> in the palm oil sector are being addressed. </w:t>
            </w:r>
          </w:p>
          <w:p w14:paraId="2FE90317" w14:textId="77777777" w:rsidR="001D3508" w:rsidRPr="00330DC6" w:rsidRDefault="001D3508" w:rsidP="003004F6">
            <w:pPr>
              <w:pStyle w:val="Default"/>
              <w:widowControl w:val="0"/>
              <w:spacing w:after="0" w:line="240" w:lineRule="auto"/>
              <w:ind w:left="720"/>
              <w:rPr>
                <w:rFonts w:cs="Times New Roman"/>
                <w:b/>
                <w:iCs/>
                <w:color w:val="auto"/>
                <w:sz w:val="20"/>
                <w:szCs w:val="20"/>
              </w:rPr>
            </w:pPr>
          </w:p>
          <w:p w14:paraId="1928436D" w14:textId="77777777" w:rsidR="001D3508" w:rsidRPr="00330DC6" w:rsidRDefault="001D3508" w:rsidP="003004F6">
            <w:pPr>
              <w:pStyle w:val="Default"/>
              <w:widowControl w:val="0"/>
              <w:spacing w:after="0" w:line="240" w:lineRule="auto"/>
              <w:rPr>
                <w:rFonts w:cs="Times New Roman"/>
                <w:i/>
                <w:iCs/>
                <w:color w:val="auto"/>
                <w:sz w:val="20"/>
                <w:szCs w:val="20"/>
              </w:rPr>
            </w:pPr>
            <w:r w:rsidRPr="00330DC6">
              <w:rPr>
                <w:rFonts w:cs="Times New Roman"/>
                <w:i/>
                <w:iCs/>
                <w:color w:val="auto"/>
                <w:sz w:val="20"/>
                <w:szCs w:val="20"/>
              </w:rPr>
              <w:t>For guidance on gender sensitive reporting, please refer to the Reporting Guidelines. If availability of data is low or absent, please note that below by providing concrete reasons.</w:t>
            </w:r>
          </w:p>
          <w:p w14:paraId="38AF7DAC" w14:textId="77777777" w:rsidR="001D3508" w:rsidRPr="00330DC6" w:rsidRDefault="001D3508" w:rsidP="003004F6">
            <w:pPr>
              <w:pStyle w:val="Default"/>
              <w:widowControl w:val="0"/>
              <w:spacing w:after="0" w:line="240" w:lineRule="auto"/>
              <w:rPr>
                <w:i/>
                <w:color w:val="auto"/>
                <w:sz w:val="20"/>
                <w:szCs w:val="20"/>
                <w:lang w:eastAsia="en-GB"/>
              </w:rPr>
            </w:pPr>
            <w:r w:rsidRPr="00330DC6">
              <w:rPr>
                <w:i/>
                <w:color w:val="auto"/>
                <w:sz w:val="20"/>
                <w:szCs w:val="20"/>
                <w:lang w:eastAsia="en-GB"/>
              </w:rPr>
              <w:t xml:space="preserve">[Type here. Maximum 150 words].  </w:t>
            </w:r>
          </w:p>
          <w:p w14:paraId="3F74F77E" w14:textId="77777777" w:rsidR="001D3508" w:rsidRPr="00330DC6" w:rsidRDefault="001D3508" w:rsidP="003004F6">
            <w:pPr>
              <w:pStyle w:val="Default"/>
              <w:widowControl w:val="0"/>
              <w:spacing w:after="0" w:line="240" w:lineRule="auto"/>
              <w:rPr>
                <w:b/>
                <w:color w:val="auto"/>
                <w:sz w:val="20"/>
                <w:szCs w:val="20"/>
                <w:lang w:eastAsia="en-GB"/>
              </w:rPr>
            </w:pPr>
          </w:p>
          <w:p w14:paraId="0547659C" w14:textId="77777777" w:rsidR="001D3508" w:rsidRPr="00330DC6" w:rsidRDefault="001D3508" w:rsidP="003004F6">
            <w:pPr>
              <w:pStyle w:val="Default"/>
              <w:widowControl w:val="0"/>
              <w:spacing w:after="0" w:line="240" w:lineRule="auto"/>
              <w:rPr>
                <w:b/>
                <w:color w:val="auto"/>
                <w:sz w:val="20"/>
                <w:szCs w:val="20"/>
                <w:lang w:eastAsia="en-GB"/>
              </w:rPr>
            </w:pPr>
          </w:p>
        </w:tc>
        <w:tc>
          <w:tcPr>
            <w:tcW w:w="1654" w:type="dxa"/>
            <w:tcBorders>
              <w:top w:val="single" w:sz="4" w:space="0" w:color="auto"/>
              <w:left w:val="single" w:sz="4" w:space="0" w:color="auto"/>
              <w:bottom w:val="single" w:sz="4" w:space="0" w:color="auto"/>
              <w:right w:val="single" w:sz="4" w:space="0" w:color="auto"/>
            </w:tcBorders>
            <w:shd w:val="clear" w:color="auto" w:fill="808080"/>
          </w:tcPr>
          <w:p w14:paraId="1F11B411" w14:textId="77777777" w:rsidR="001D3508" w:rsidRPr="00330DC6" w:rsidRDefault="001D3508" w:rsidP="003004F6">
            <w:pPr>
              <w:rPr>
                <w:rFonts w:ascii="Calibri" w:hAnsi="Calibri"/>
              </w:rPr>
            </w:pPr>
            <w:r w:rsidRPr="00330DC6">
              <w:rPr>
                <w:rFonts w:ascii="Calibri" w:hAnsi="Calibri"/>
                <w:b/>
                <w:sz w:val="18"/>
                <w:szCs w:val="18"/>
                <w:lang w:eastAsia="en-GB"/>
              </w:rPr>
              <w:t>UNEP, UNDP</w:t>
            </w:r>
          </w:p>
        </w:tc>
      </w:tr>
    </w:tbl>
    <w:p w14:paraId="77F916A3" w14:textId="77777777" w:rsidR="008B0CEE" w:rsidRDefault="008B0CEE"/>
    <w:sectPr w:rsidR="008B0CEE" w:rsidSect="001D350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110F" w14:textId="77777777" w:rsidR="001D3508" w:rsidRDefault="001D3508" w:rsidP="001D3508">
      <w:r>
        <w:separator/>
      </w:r>
    </w:p>
  </w:endnote>
  <w:endnote w:type="continuationSeparator" w:id="0">
    <w:p w14:paraId="423A0BD6" w14:textId="77777777" w:rsidR="001D3508" w:rsidRDefault="001D3508" w:rsidP="001D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6571D" w14:textId="77777777" w:rsidR="001D3508" w:rsidRDefault="001D3508" w:rsidP="001D3508">
      <w:r>
        <w:separator/>
      </w:r>
    </w:p>
  </w:footnote>
  <w:footnote w:type="continuationSeparator" w:id="0">
    <w:p w14:paraId="5857CA84" w14:textId="77777777" w:rsidR="001D3508" w:rsidRDefault="001D3508" w:rsidP="001D3508">
      <w:r>
        <w:continuationSeparator/>
      </w:r>
    </w:p>
  </w:footnote>
  <w:footnote w:id="1">
    <w:p w14:paraId="7E93DB15" w14:textId="77777777" w:rsidR="001D3508" w:rsidRPr="00EB1089" w:rsidRDefault="001D3508" w:rsidP="001D3508">
      <w:pPr>
        <w:rPr>
          <w:rFonts w:ascii="Calibri" w:hAnsi="Calibri"/>
          <w:color w:val="000000"/>
          <w:sz w:val="18"/>
          <w:szCs w:val="18"/>
        </w:rPr>
      </w:pPr>
      <w:r w:rsidRPr="00EB1089">
        <w:rPr>
          <w:rStyle w:val="Marquenotebasdepage"/>
          <w:rFonts w:ascii="Calibri" w:hAnsi="Calibri"/>
          <w:sz w:val="18"/>
          <w:szCs w:val="18"/>
        </w:rPr>
        <w:footnoteRef/>
      </w:r>
      <w:r w:rsidRPr="00EB1089">
        <w:rPr>
          <w:rFonts w:ascii="Calibri" w:hAnsi="Calibri"/>
          <w:sz w:val="18"/>
          <w:szCs w:val="18"/>
        </w:rPr>
        <w:t xml:space="preserve"> </w:t>
      </w:r>
      <w:r>
        <w:rPr>
          <w:rFonts w:ascii="Calibri" w:hAnsi="Calibri"/>
          <w:color w:val="000000"/>
          <w:sz w:val="18"/>
          <w:szCs w:val="18"/>
        </w:rPr>
        <w:t>A knowledge p</w:t>
      </w:r>
      <w:r w:rsidRPr="00EB1089">
        <w:rPr>
          <w:rFonts w:ascii="Calibri" w:hAnsi="Calibri"/>
          <w:color w:val="000000"/>
          <w:sz w:val="18"/>
          <w:szCs w:val="18"/>
        </w:rPr>
        <w:t xml:space="preserve">roduct can be defined as explicit knowledge (knowledge that can be articulated, codified and stored) designed to assist in the transfer of knowledge to the end user. For example, publications, videos or web pages could be considered knowledge products. Only products fully funded or co-funded by the </w:t>
      </w:r>
      <w:proofErr w:type="spellStart"/>
      <w:r w:rsidRPr="00EB1089">
        <w:rPr>
          <w:rFonts w:ascii="Calibri" w:hAnsi="Calibri"/>
          <w:color w:val="000000"/>
          <w:sz w:val="18"/>
          <w:szCs w:val="18"/>
        </w:rPr>
        <w:t>Programme</w:t>
      </w:r>
      <w:proofErr w:type="spellEnd"/>
      <w:r w:rsidRPr="00EB1089">
        <w:rPr>
          <w:rFonts w:ascii="Calibri" w:hAnsi="Calibri"/>
          <w:color w:val="000000"/>
          <w:sz w:val="18"/>
          <w:szCs w:val="18"/>
        </w:rPr>
        <w:t xml:space="preserve"> and those that have been publically available should be listed.</w:t>
      </w:r>
    </w:p>
    <w:p w14:paraId="0948B210" w14:textId="77777777" w:rsidR="001D3508" w:rsidRDefault="001D3508" w:rsidP="001D3508">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62A"/>
    <w:multiLevelType w:val="hybridMultilevel"/>
    <w:tmpl w:val="339EA72A"/>
    <w:lvl w:ilvl="0" w:tplc="B21ED7E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80EF7"/>
    <w:multiLevelType w:val="hybridMultilevel"/>
    <w:tmpl w:val="CDF0EDAA"/>
    <w:lvl w:ilvl="0" w:tplc="D88E474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43BC024C">
      <w:start w:val="1"/>
      <w:numFmt w:val="lowerLetter"/>
      <w:lvlText w:val="%5."/>
      <w:lvlJc w:val="left"/>
      <w:pPr>
        <w:ind w:left="3600" w:hanging="360"/>
      </w:pPr>
      <w:rPr>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64F12"/>
    <w:multiLevelType w:val="hybridMultilevel"/>
    <w:tmpl w:val="7CB46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8D063C"/>
    <w:multiLevelType w:val="hybridMultilevel"/>
    <w:tmpl w:val="92D6A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C28E6"/>
    <w:multiLevelType w:val="hybridMultilevel"/>
    <w:tmpl w:val="4F642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39710B"/>
    <w:multiLevelType w:val="hybridMultilevel"/>
    <w:tmpl w:val="09CC4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08"/>
    <w:rsid w:val="001D3508"/>
    <w:rsid w:val="006E46D9"/>
    <w:rsid w:val="008B0CEE"/>
    <w:rsid w:val="00F414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36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08"/>
    <w:pPr>
      <w:widowControl w:val="0"/>
    </w:pPr>
    <w:rPr>
      <w:rFonts w:ascii="Times New Roman" w:eastAsia="Times New Roman" w:hAnsi="Times New Roman" w:cs="Times New Roman"/>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D3508"/>
    <w:pPr>
      <w:autoSpaceDE w:val="0"/>
      <w:autoSpaceDN w:val="0"/>
      <w:adjustRightInd w:val="0"/>
      <w:spacing w:after="200" w:line="276" w:lineRule="auto"/>
    </w:pPr>
    <w:rPr>
      <w:rFonts w:ascii="Calibri" w:eastAsia="Times New Roman" w:hAnsi="Calibri" w:cs="Calibri"/>
      <w:color w:val="000000"/>
      <w:lang w:val="en-US" w:eastAsia="en-US"/>
    </w:rPr>
  </w:style>
  <w:style w:type="character" w:styleId="Lienhypertexte">
    <w:name w:val="Hyperlink"/>
    <w:uiPriority w:val="99"/>
    <w:rsid w:val="001D3508"/>
    <w:rPr>
      <w:color w:val="0000FF"/>
      <w:u w:val="single"/>
    </w:rPr>
  </w:style>
  <w:style w:type="paragraph" w:styleId="Notedebasdepage">
    <w:name w:val="footnote text"/>
    <w:aliases w:val="PBF Footnote Text,single space,Texto nota pie Car Car Car,FOOTNOTES,fn,Footnote Text Char Char Char,Footnote Text1 Char,Footnote Text Char Char Char1 Char,Footnote Text Char Char Char1,ADB,footnote text"/>
    <w:basedOn w:val="Normal"/>
    <w:link w:val="NotedebasdepageCar"/>
    <w:uiPriority w:val="99"/>
    <w:unhideWhenUsed/>
    <w:rsid w:val="001D3508"/>
    <w:rPr>
      <w:sz w:val="20"/>
      <w:lang w:eastAsia="x-none"/>
    </w:rPr>
  </w:style>
  <w:style w:type="character" w:customStyle="1" w:styleId="NotedebasdepageCar">
    <w:name w:val="Note de bas de page Car"/>
    <w:aliases w:val="PBF Footnote Text Car,single space Car,Texto nota pie Car Car Car Car,FOOTNOTES Car,fn Car,Footnote Text Char Char Char Car,Footnote Text1 Char Car,Footnote Text Char Char Char1 Char Car,Footnote Text Char Char Char1 Car,ADB Car"/>
    <w:basedOn w:val="Policepardfaut"/>
    <w:link w:val="Notedebasdepage"/>
    <w:uiPriority w:val="99"/>
    <w:rsid w:val="001D3508"/>
    <w:rPr>
      <w:rFonts w:ascii="Times New Roman" w:eastAsia="Times New Roman" w:hAnsi="Times New Roman" w:cs="Times New Roman"/>
      <w:sz w:val="20"/>
      <w:szCs w:val="20"/>
      <w:lang w:val="en-US" w:eastAsia="x-none"/>
    </w:rPr>
  </w:style>
  <w:style w:type="character" w:styleId="Marquenotebasdepage">
    <w:name w:val="footnote reference"/>
    <w:unhideWhenUsed/>
    <w:rsid w:val="001D3508"/>
    <w:rPr>
      <w:vertAlign w:val="superscript"/>
    </w:rPr>
  </w:style>
  <w:style w:type="paragraph" w:styleId="Paragraphedeliste">
    <w:name w:val="List Paragraph"/>
    <w:basedOn w:val="Normal"/>
    <w:link w:val="ParagraphedelisteCar"/>
    <w:uiPriority w:val="34"/>
    <w:qFormat/>
    <w:rsid w:val="001D3508"/>
    <w:pPr>
      <w:widowControl/>
      <w:suppressAutoHyphens/>
      <w:autoSpaceDN w:val="0"/>
      <w:ind w:left="720" w:hanging="425"/>
      <w:contextualSpacing/>
      <w:textAlignment w:val="baseline"/>
    </w:pPr>
    <w:rPr>
      <w:rFonts w:eastAsia="Calibri"/>
      <w:szCs w:val="24"/>
      <w:lang w:val="x-none" w:eastAsia="x-none"/>
    </w:rPr>
  </w:style>
  <w:style w:type="character" w:customStyle="1" w:styleId="ParagraphedelisteCar">
    <w:name w:val="Paragraphe de liste Car"/>
    <w:link w:val="Paragraphedeliste"/>
    <w:uiPriority w:val="34"/>
    <w:rsid w:val="001D3508"/>
    <w:rPr>
      <w:rFonts w:ascii="Times New Roman" w:eastAsia="Calibri" w:hAnsi="Times New Roman" w:cs="Times New Roman"/>
      <w:lang w:val="x-none" w:eastAsia="x-none"/>
    </w:rPr>
  </w:style>
  <w:style w:type="character" w:customStyle="1" w:styleId="A7">
    <w:name w:val="A7"/>
    <w:uiPriority w:val="99"/>
    <w:rsid w:val="001D3508"/>
    <w:rPr>
      <w:rFonts w:cs="Frutiger LT Std 45 Light"/>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08"/>
    <w:pPr>
      <w:widowControl w:val="0"/>
    </w:pPr>
    <w:rPr>
      <w:rFonts w:ascii="Times New Roman" w:eastAsia="Times New Roman" w:hAnsi="Times New Roman" w:cs="Times New Roman"/>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D3508"/>
    <w:pPr>
      <w:autoSpaceDE w:val="0"/>
      <w:autoSpaceDN w:val="0"/>
      <w:adjustRightInd w:val="0"/>
      <w:spacing w:after="200" w:line="276" w:lineRule="auto"/>
    </w:pPr>
    <w:rPr>
      <w:rFonts w:ascii="Calibri" w:eastAsia="Times New Roman" w:hAnsi="Calibri" w:cs="Calibri"/>
      <w:color w:val="000000"/>
      <w:lang w:val="en-US" w:eastAsia="en-US"/>
    </w:rPr>
  </w:style>
  <w:style w:type="character" w:styleId="Lienhypertexte">
    <w:name w:val="Hyperlink"/>
    <w:uiPriority w:val="99"/>
    <w:rsid w:val="001D3508"/>
    <w:rPr>
      <w:color w:val="0000FF"/>
      <w:u w:val="single"/>
    </w:rPr>
  </w:style>
  <w:style w:type="paragraph" w:styleId="Notedebasdepage">
    <w:name w:val="footnote text"/>
    <w:aliases w:val="PBF Footnote Text,single space,Texto nota pie Car Car Car,FOOTNOTES,fn,Footnote Text Char Char Char,Footnote Text1 Char,Footnote Text Char Char Char1 Char,Footnote Text Char Char Char1,ADB,footnote text"/>
    <w:basedOn w:val="Normal"/>
    <w:link w:val="NotedebasdepageCar"/>
    <w:uiPriority w:val="99"/>
    <w:unhideWhenUsed/>
    <w:rsid w:val="001D3508"/>
    <w:rPr>
      <w:sz w:val="20"/>
      <w:lang w:eastAsia="x-none"/>
    </w:rPr>
  </w:style>
  <w:style w:type="character" w:customStyle="1" w:styleId="NotedebasdepageCar">
    <w:name w:val="Note de bas de page Car"/>
    <w:aliases w:val="PBF Footnote Text Car,single space Car,Texto nota pie Car Car Car Car,FOOTNOTES Car,fn Car,Footnote Text Char Char Char Car,Footnote Text1 Char Car,Footnote Text Char Char Char1 Char Car,Footnote Text Char Char Char1 Car,ADB Car"/>
    <w:basedOn w:val="Policepardfaut"/>
    <w:link w:val="Notedebasdepage"/>
    <w:uiPriority w:val="99"/>
    <w:rsid w:val="001D3508"/>
    <w:rPr>
      <w:rFonts w:ascii="Times New Roman" w:eastAsia="Times New Roman" w:hAnsi="Times New Roman" w:cs="Times New Roman"/>
      <w:sz w:val="20"/>
      <w:szCs w:val="20"/>
      <w:lang w:val="en-US" w:eastAsia="x-none"/>
    </w:rPr>
  </w:style>
  <w:style w:type="character" w:styleId="Marquenotebasdepage">
    <w:name w:val="footnote reference"/>
    <w:unhideWhenUsed/>
    <w:rsid w:val="001D3508"/>
    <w:rPr>
      <w:vertAlign w:val="superscript"/>
    </w:rPr>
  </w:style>
  <w:style w:type="paragraph" w:styleId="Paragraphedeliste">
    <w:name w:val="List Paragraph"/>
    <w:basedOn w:val="Normal"/>
    <w:link w:val="ParagraphedelisteCar"/>
    <w:uiPriority w:val="34"/>
    <w:qFormat/>
    <w:rsid w:val="001D3508"/>
    <w:pPr>
      <w:widowControl/>
      <w:suppressAutoHyphens/>
      <w:autoSpaceDN w:val="0"/>
      <w:ind w:left="720" w:hanging="425"/>
      <w:contextualSpacing/>
      <w:textAlignment w:val="baseline"/>
    </w:pPr>
    <w:rPr>
      <w:rFonts w:eastAsia="Calibri"/>
      <w:szCs w:val="24"/>
      <w:lang w:val="x-none" w:eastAsia="x-none"/>
    </w:rPr>
  </w:style>
  <w:style w:type="character" w:customStyle="1" w:styleId="ParagraphedelisteCar">
    <w:name w:val="Paragraphe de liste Car"/>
    <w:link w:val="Paragraphedeliste"/>
    <w:uiPriority w:val="34"/>
    <w:rsid w:val="001D3508"/>
    <w:rPr>
      <w:rFonts w:ascii="Times New Roman" w:eastAsia="Calibri" w:hAnsi="Times New Roman" w:cs="Times New Roman"/>
      <w:lang w:val="x-none" w:eastAsia="x-none"/>
    </w:rPr>
  </w:style>
  <w:style w:type="character" w:customStyle="1" w:styleId="A7">
    <w:name w:val="A7"/>
    <w:uiPriority w:val="99"/>
    <w:rsid w:val="001D3508"/>
    <w:rPr>
      <w:rFonts w:cs="Frutiger LT Std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www.undp.org/content/dam/undp/library/Environment%20and%20Energy/Green%20Commodities%20Programme/Land%20Tenure%20&amp;%20Sustainability%20Ghana.pdf" TargetMode="External"/><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hyperlink" Target="https://drive.google.com/folderview?id=0Bz43FsNnYEKnflNqWHFqNWxkTXF1Y3ctQXdUSHVTem82N2I5Y2pFam91SUdpbV9aYkVteUE&amp;usp=drive_web&amp;tid=0Bz43FsNnYEKnflFtbGlINngtWjZFdE9QUHhZNmF4VlI0TFkyU3JMVVBDWU1YRmFBcjE1M2s" TargetMode="Externa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s://drive.google.com/folderview?id=0BwOiwIOv3ZrHfm5TMUxCT1M3dVBYM3ZWWER1MDYwY0twdGstZE5nWXhUalhkOWVHWUpVWmM&amp;usp=drive_web&amp;tid=0Bz43FsNnYEKnflFtbGlINngtWjZFdE9QUHhZNmF4VlI0TFkyU3JMVVBDWU1YRmFBcjE1M2s"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drive.google.com/folderview?id=0Bz43FsNnYEKnflFtbGlINngtWjZFdE9QUHhZNmF4VlI0TFkyU3JMVVBDWU1YRmFBcjE1M2s&amp;usp=drive_web" TargetMode="External"/><Relationship Id="rId19" Type="http://schemas.openxmlformats.org/officeDocument/2006/relationships/customXml" Target="../customXml/item5.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pop.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2016-11-10T18:00:00+00:00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00079521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ATLASPDC-4-55754</_dlc_DocId>
    <_dlc_DocIdUrl xmlns="f1161f5b-24a3-4c2d-bc81-44cb9325e8ee">
      <Url>https://info.undp.org/docs/pdc/_layouts/DocIdRedir.aspx?ID=ATLASPDC-4-55754</Url>
      <Description>ATLASPDC-4-55754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22CDDC-6376-4A02-B195-75FC2F6590B2}"/>
</file>

<file path=customXml/itemProps2.xml><?xml version="1.0" encoding="utf-8"?>
<ds:datastoreItem xmlns:ds="http://schemas.openxmlformats.org/officeDocument/2006/customXml" ds:itemID="{C72C4ABE-4328-4E36-9EBB-910C3CDF3E6E}"/>
</file>

<file path=customXml/itemProps3.xml><?xml version="1.0" encoding="utf-8"?>
<ds:datastoreItem xmlns:ds="http://schemas.openxmlformats.org/officeDocument/2006/customXml" ds:itemID="{0EDE665E-F3B1-4AB2-A53A-5E000E6E40BB}"/>
</file>

<file path=customXml/itemProps4.xml><?xml version="1.0" encoding="utf-8"?>
<ds:datastoreItem xmlns:ds="http://schemas.openxmlformats.org/officeDocument/2006/customXml" ds:itemID="{A2A04F4E-7920-4D25-B9E5-5DB6536233A8}"/>
</file>

<file path=customXml/itemProps5.xml><?xml version="1.0" encoding="utf-8"?>
<ds:datastoreItem xmlns:ds="http://schemas.openxmlformats.org/officeDocument/2006/customXml" ds:itemID="{75034108-B7B2-48AC-BE70-949F46A7E742}"/>
</file>

<file path=docProps/app.xml><?xml version="1.0" encoding="utf-8"?>
<Properties xmlns="http://schemas.openxmlformats.org/officeDocument/2006/extended-properties" xmlns:vt="http://schemas.openxmlformats.org/officeDocument/2006/docPropsVTypes">
  <Template>Normal.dotm</Template>
  <TotalTime>7</TotalTime>
  <Pages>3</Pages>
  <Words>1439</Words>
  <Characters>7918</Characters>
  <Application>Microsoft Macintosh Word</Application>
  <DocSecurity>0</DocSecurity>
  <Lines>65</Lines>
  <Paragraphs>18</Paragraphs>
  <ScaleCrop>false</ScaleCrop>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UNREDD 2015 Report</dc:title>
  <dc:subject/>
  <dc:creator>Elodie Vieux</dc:creator>
  <cp:keywords/>
  <dc:description/>
  <cp:lastModifiedBy>Elodie Vieux</cp:lastModifiedBy>
  <cp:revision>3</cp:revision>
  <dcterms:created xsi:type="dcterms:W3CDTF">2016-01-20T13:21:00Z</dcterms:created>
  <dcterms:modified xsi:type="dcterms:W3CDTF">2016-02-05T08:43:00Z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1124;#R46|f08bccf9-e591-4230-9335-f907f33903f5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7c9c7f3e-27e5-4216-a22f-9637dee044c8</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